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autoSpaceDE/>
        <w:autoSpaceDN/>
        <w:bidi w:val="0"/>
        <w:adjustRightInd w:val="0"/>
        <w:snapToGrid w:val="0"/>
        <w:spacing w:line="600" w:lineRule="exact"/>
        <w:ind w:left="0" w:right="0"/>
        <w:jc w:val="both"/>
        <w:textAlignment w:val="baseline"/>
        <w:rPr>
          <w:rFonts w:hint="eastAsia" w:ascii="方正小标宋简体" w:hAnsi="方正小标宋简体" w:eastAsia="方正小标宋简体" w:cs="方正小标宋简体"/>
          <w:color w:val="auto"/>
          <w:spacing w:val="-1"/>
          <w:sz w:val="44"/>
          <w:szCs w:val="44"/>
          <w:lang w:eastAsia="zh-CN"/>
        </w:rPr>
      </w:pPr>
      <w:r>
        <w:rPr>
          <w:rFonts w:hint="eastAsia" w:ascii="华文中宋" w:hAnsi="华文中宋" w:eastAsia="华文中宋" w:cs="楷体_GB2312"/>
          <w:color w:val="FF0000"/>
          <w:spacing w:val="-20"/>
          <w:sz w:val="44"/>
          <w:szCs w:val="44"/>
        </w:rPr>
        <w:pict>
          <v:shape id="艺术字 14" o:spid="_x0000_s1026" o:spt="136" type="#_x0000_t136" style="position:absolute;left:0pt;margin-left:-1.65pt;margin-top:26.3pt;height:83.3pt;width:443.65pt;z-index:251661312;mso-width-relative:page;mso-height-relative:page;" fillcolor="#FF0000" filled="t" stroked="f" coordsize="21600,21600" adj="10800">
            <v:path/>
            <v:fill on="t" color2="#FFFFFF" focussize="0,0"/>
            <v:stroke on="f"/>
            <v:imagedata o:title=""/>
            <o:lock v:ext="edit" aspectratio="f"/>
            <v:textpath on="t" fitshape="t" fitpath="t" trim="t" xscale="f" string="滕州市人民政府办公室文件" style="font-family:华文中宋;font-size:36pt;font-weight:bold;v-text-align:center;"/>
          </v:shape>
        </w:pict>
      </w:r>
    </w:p>
    <w:p>
      <w:pPr>
        <w:keepNext w:val="0"/>
        <w:keepLines w:val="0"/>
        <w:pageBreakBefore w:val="0"/>
        <w:widowControl w:val="0"/>
        <w:kinsoku/>
        <w:wordWrap/>
        <w:overflowPunct w:val="0"/>
        <w:topLinePunct/>
        <w:autoSpaceDE/>
        <w:autoSpaceDN/>
        <w:bidi w:val="0"/>
        <w:adjustRightInd w:val="0"/>
        <w:snapToGrid w:val="0"/>
        <w:spacing w:line="600" w:lineRule="exact"/>
        <w:ind w:left="0" w:right="0"/>
        <w:jc w:val="both"/>
        <w:textAlignment w:val="baseline"/>
        <w:rPr>
          <w:rFonts w:hint="eastAsia" w:ascii="方正小标宋简体" w:hAnsi="方正小标宋简体" w:eastAsia="方正小标宋简体" w:cs="方正小标宋简体"/>
          <w:color w:val="auto"/>
          <w:spacing w:val="-1"/>
          <w:sz w:val="44"/>
          <w:szCs w:val="44"/>
          <w:lang w:eastAsia="zh-CN"/>
        </w:rPr>
      </w:pPr>
    </w:p>
    <w:p>
      <w:pPr>
        <w:keepNext w:val="0"/>
        <w:keepLines w:val="0"/>
        <w:pageBreakBefore w:val="0"/>
        <w:widowControl w:val="0"/>
        <w:kinsoku/>
        <w:wordWrap/>
        <w:overflowPunct w:val="0"/>
        <w:topLinePunct/>
        <w:autoSpaceDE/>
        <w:autoSpaceDN/>
        <w:bidi w:val="0"/>
        <w:adjustRightInd w:val="0"/>
        <w:snapToGrid w:val="0"/>
        <w:spacing w:line="600" w:lineRule="exact"/>
        <w:ind w:left="0" w:right="0"/>
        <w:jc w:val="both"/>
        <w:textAlignment w:val="baseline"/>
        <w:rPr>
          <w:rFonts w:hint="eastAsia" w:ascii="方正小标宋简体" w:hAnsi="方正小标宋简体" w:eastAsia="方正小标宋简体" w:cs="方正小标宋简体"/>
          <w:color w:val="auto"/>
          <w:spacing w:val="-1"/>
          <w:sz w:val="44"/>
          <w:szCs w:val="44"/>
          <w:lang w:eastAsia="zh-CN"/>
        </w:rPr>
      </w:pPr>
    </w:p>
    <w:p>
      <w:pPr>
        <w:keepNext w:val="0"/>
        <w:keepLines w:val="0"/>
        <w:pageBreakBefore w:val="0"/>
        <w:widowControl w:val="0"/>
        <w:kinsoku/>
        <w:wordWrap/>
        <w:overflowPunct w:val="0"/>
        <w:topLinePunct/>
        <w:autoSpaceDE/>
        <w:autoSpaceDN/>
        <w:bidi w:val="0"/>
        <w:adjustRightInd w:val="0"/>
        <w:snapToGrid w:val="0"/>
        <w:spacing w:line="600" w:lineRule="exact"/>
        <w:ind w:left="0" w:right="0"/>
        <w:jc w:val="both"/>
        <w:textAlignment w:val="baseline"/>
        <w:rPr>
          <w:rFonts w:hint="eastAsia" w:ascii="方正小标宋简体" w:hAnsi="方正小标宋简体" w:eastAsia="方正小标宋简体" w:cs="方正小标宋简体"/>
          <w:color w:val="auto"/>
          <w:spacing w:val="-1"/>
          <w:sz w:val="44"/>
          <w:szCs w:val="44"/>
          <w:lang w:eastAsia="zh-CN"/>
        </w:rPr>
      </w:pPr>
    </w:p>
    <w:p>
      <w:pPr>
        <w:pStyle w:val="11"/>
        <w:keepNext w:val="0"/>
        <w:keepLines w:val="0"/>
        <w:pageBreakBefore w:val="0"/>
        <w:widowControl w:val="0"/>
        <w:kinsoku/>
        <w:wordWrap/>
        <w:overflowPunct w:val="0"/>
        <w:topLinePunct/>
        <w:autoSpaceDE/>
        <w:autoSpaceDN/>
        <w:bidi w:val="0"/>
        <w:spacing w:line="600" w:lineRule="exact"/>
        <w:ind w:left="0" w:leftChars="0" w:right="0" w:firstLine="0" w:firstLineChars="0"/>
        <w:jc w:val="center"/>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滕政办发</w:t>
      </w:r>
      <w:r>
        <w:rPr>
          <w:rFonts w:hint="eastAsia" w:ascii="仿宋_GB2312" w:hAnsi="仿宋_GB2312" w:eastAsia="仿宋_GB2312" w:cs="仿宋_GB2312"/>
          <w:snapToGrid w:val="0"/>
          <w:color w:val="000000"/>
          <w:spacing w:val="0"/>
          <w:kern w:val="0"/>
          <w:sz w:val="32"/>
          <w:szCs w:val="32"/>
          <w:lang w:eastAsia="en-US"/>
        </w:rPr>
        <w:t>〔202</w:t>
      </w:r>
      <w:r>
        <w:rPr>
          <w:rFonts w:hint="eastAsia" w:ascii="仿宋_GB2312" w:hAnsi="仿宋_GB2312" w:eastAsia="仿宋_GB2312" w:cs="仿宋_GB2312"/>
          <w:snapToGrid w:val="0"/>
          <w:color w:val="000000"/>
          <w:spacing w:val="0"/>
          <w:kern w:val="0"/>
          <w:sz w:val="32"/>
          <w:szCs w:val="32"/>
          <w:lang w:val="en-US" w:eastAsia="zh-CN"/>
        </w:rPr>
        <w:t>3</w:t>
      </w:r>
      <w:r>
        <w:rPr>
          <w:rFonts w:hint="eastAsia" w:ascii="仿宋_GB2312" w:hAnsi="仿宋_GB2312" w:eastAsia="仿宋_GB2312" w:cs="仿宋_GB2312"/>
          <w:snapToGrid w:val="0"/>
          <w:color w:val="000000"/>
          <w:spacing w:val="0"/>
          <w:kern w:val="0"/>
          <w:sz w:val="32"/>
          <w:szCs w:val="32"/>
          <w:lang w:eastAsia="en-US"/>
        </w:rPr>
        <w:t>〕</w:t>
      </w:r>
      <w:r>
        <w:rPr>
          <w:rFonts w:hint="default" w:ascii="仿宋_GB2312" w:hAnsi="仿宋_GB2312" w:eastAsia="仿宋_GB2312" w:cs="仿宋_GB2312"/>
          <w:snapToGrid w:val="0"/>
          <w:color w:val="000000"/>
          <w:spacing w:val="0"/>
          <w:kern w:val="0"/>
          <w:sz w:val="32"/>
          <w:szCs w:val="32"/>
          <w:lang w:val="en" w:eastAsia="zh-CN"/>
        </w:rPr>
        <w:t>35</w:t>
      </w:r>
      <w:r>
        <w:rPr>
          <w:rFonts w:hint="eastAsia" w:ascii="仿宋_GB2312" w:hAnsi="仿宋_GB2312" w:eastAsia="仿宋_GB2312" w:cs="仿宋_GB2312"/>
          <w:snapToGrid w:val="0"/>
          <w:color w:val="000000"/>
          <w:spacing w:val="0"/>
          <w:kern w:val="0"/>
          <w:sz w:val="32"/>
          <w:szCs w:val="32"/>
          <w:lang w:eastAsia="en-US"/>
        </w:rPr>
        <w:t>号</w:t>
      </w:r>
    </w:p>
    <w:p>
      <w:pPr>
        <w:keepNext w:val="0"/>
        <w:keepLines w:val="0"/>
        <w:pageBreakBefore w:val="0"/>
        <w:widowControl w:val="0"/>
        <w:kinsoku/>
        <w:wordWrap/>
        <w:overflowPunct w:val="0"/>
        <w:topLinePunct/>
        <w:autoSpaceDE/>
        <w:autoSpaceDN/>
        <w:bidi w:val="0"/>
        <w:adjustRightInd w:val="0"/>
        <w:snapToGrid w:val="0"/>
        <w:spacing w:line="600" w:lineRule="exact"/>
        <w:ind w:left="0" w:right="0"/>
        <w:jc w:val="center"/>
        <w:textAlignment w:val="baseline"/>
        <w:rPr>
          <w:rFonts w:hint="eastAsia" w:ascii="方正小标宋简体" w:hAnsi="方正小标宋简体" w:eastAsia="方正小标宋简体" w:cs="方正小标宋简体"/>
          <w:color w:val="auto"/>
          <w:spacing w:val="-1"/>
          <w:sz w:val="44"/>
          <w:szCs w:val="44"/>
          <w:lang w:eastAsia="zh-CN"/>
        </w:rPr>
      </w:pPr>
      <w:r>
        <w:rPr>
          <w:rFonts w:hint="eastAsia" w:ascii="华文中宋" w:hAnsi="华文中宋" w:eastAsia="华文中宋" w:cs="楷体_GB2312"/>
          <w:color w:val="FF0000"/>
          <w:spacing w:val="-20"/>
          <w:sz w:val="44"/>
          <w:szCs w:val="44"/>
        </w:rPr>
        <mc:AlternateContent>
          <mc:Choice Requires="wps">
            <w:drawing>
              <wp:anchor distT="0" distB="0" distL="114300" distR="114300" simplePos="0" relativeHeight="251666432" behindDoc="0" locked="0" layoutInCell="1" allowOverlap="1">
                <wp:simplePos x="0" y="0"/>
                <wp:positionH relativeFrom="column">
                  <wp:posOffset>153670</wp:posOffset>
                </wp:positionH>
                <wp:positionV relativeFrom="paragraph">
                  <wp:posOffset>208280</wp:posOffset>
                </wp:positionV>
                <wp:extent cx="5143500" cy="635"/>
                <wp:effectExtent l="0" t="0" r="0" b="0"/>
                <wp:wrapNone/>
                <wp:docPr id="1" name="直接连接符 1"/>
                <wp:cNvGraphicFramePr/>
                <a:graphic xmlns:a="http://schemas.openxmlformats.org/drawingml/2006/main">
                  <a:graphicData uri="http://schemas.microsoft.com/office/word/2010/wordprocessingShape">
                    <wps:wsp>
                      <wps:cNvCnPr/>
                      <wps:spPr>
                        <a:xfrm>
                          <a:off x="1229995" y="3791585"/>
                          <a:ext cx="5143500" cy="635"/>
                        </a:xfrm>
                        <a:prstGeom prst="line">
                          <a:avLst/>
                        </a:prstGeom>
                        <a:ln w="28575"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12.1pt;margin-top:16.4pt;height:0.05pt;width:405pt;z-index:251666432;mso-width-relative:page;mso-height-relative:page;" filled="f" stroked="t" coordsize="21600,21600" o:gfxdata="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Bkitqw1QAAAAgBAAAPAAAAAAAAAAEAIAAAADgA&#10;AABkcnMvZG93bnJldi54bWxQSwECFAAUAAAACACHTuJArwKsxvYBAAC2AwAADgAAAAAAAAABACAA&#10;AAA6AQAAZHJzL2Uyb0RvYy54bWxQSwUGAAAAAAYABgBZAQAAog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val="0"/>
        <w:topLinePunct/>
        <w:autoSpaceDE/>
        <w:autoSpaceDN/>
        <w:bidi w:val="0"/>
        <w:adjustRightInd w:val="0"/>
        <w:snapToGrid w:val="0"/>
        <w:spacing w:line="600" w:lineRule="exact"/>
        <w:ind w:left="0"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
          <w:sz w:val="44"/>
          <w:szCs w:val="44"/>
          <w:lang w:eastAsia="zh-CN"/>
        </w:rPr>
        <w:t>滕州</w:t>
      </w:r>
      <w:r>
        <w:rPr>
          <w:rFonts w:hint="eastAsia" w:ascii="方正小标宋简体" w:hAnsi="方正小标宋简体" w:eastAsia="方正小标宋简体" w:cs="方正小标宋简体"/>
          <w:color w:val="auto"/>
          <w:spacing w:val="-1"/>
          <w:sz w:val="44"/>
          <w:szCs w:val="44"/>
        </w:rPr>
        <w:t>市人民政府办公室</w:t>
      </w:r>
    </w:p>
    <w:p>
      <w:pPr>
        <w:keepNext w:val="0"/>
        <w:keepLines w:val="0"/>
        <w:pageBreakBefore w:val="0"/>
        <w:widowControl w:val="0"/>
        <w:kinsoku/>
        <w:wordWrap/>
        <w:overflowPunct w:val="0"/>
        <w:topLinePunct/>
        <w:autoSpaceDE/>
        <w:autoSpaceDN/>
        <w:bidi w:val="0"/>
        <w:adjustRightInd w:val="0"/>
        <w:snapToGrid w:val="0"/>
        <w:spacing w:line="600" w:lineRule="exact"/>
        <w:ind w:left="0"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2"/>
          <w:sz w:val="44"/>
          <w:szCs w:val="44"/>
        </w:rPr>
        <w:t>关</w:t>
      </w:r>
      <w:r>
        <w:rPr>
          <w:rFonts w:hint="eastAsia" w:ascii="方正小标宋简体" w:hAnsi="方正小标宋简体" w:eastAsia="方正小标宋简体" w:cs="方正小标宋简体"/>
          <w:color w:val="auto"/>
          <w:spacing w:val="-1"/>
          <w:sz w:val="44"/>
          <w:szCs w:val="44"/>
        </w:rPr>
        <w:t>于印发</w:t>
      </w:r>
      <w:r>
        <w:rPr>
          <w:rFonts w:hint="eastAsia" w:ascii="方正小标宋简体" w:hAnsi="方正小标宋简体" w:eastAsia="方正小标宋简体" w:cs="方正小标宋简体"/>
          <w:color w:val="auto"/>
          <w:spacing w:val="-1"/>
          <w:sz w:val="44"/>
          <w:szCs w:val="44"/>
          <w:lang w:eastAsia="zh-CN"/>
        </w:rPr>
        <w:t>滕州</w:t>
      </w:r>
      <w:r>
        <w:rPr>
          <w:rFonts w:hint="eastAsia" w:ascii="方正小标宋简体" w:hAnsi="方正小标宋简体" w:eastAsia="方正小标宋简体" w:cs="方正小标宋简体"/>
          <w:color w:val="auto"/>
          <w:spacing w:val="-1"/>
          <w:sz w:val="44"/>
          <w:szCs w:val="44"/>
        </w:rPr>
        <w:t>市残疾预防行动计划</w:t>
      </w:r>
    </w:p>
    <w:p>
      <w:pPr>
        <w:keepNext w:val="0"/>
        <w:keepLines w:val="0"/>
        <w:pageBreakBefore w:val="0"/>
        <w:widowControl w:val="0"/>
        <w:tabs>
          <w:tab w:val="left" w:pos="2181"/>
        </w:tabs>
        <w:kinsoku/>
        <w:wordWrap/>
        <w:overflowPunct w:val="0"/>
        <w:topLinePunct/>
        <w:autoSpaceDE/>
        <w:autoSpaceDN/>
        <w:bidi w:val="0"/>
        <w:adjustRightInd w:val="0"/>
        <w:snapToGrid w:val="0"/>
        <w:spacing w:line="600" w:lineRule="exact"/>
        <w:ind w:left="0" w:right="0"/>
        <w:jc w:val="center"/>
        <w:textAlignment w:val="baseline"/>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pacing w:val="-13"/>
          <w:sz w:val="44"/>
          <w:szCs w:val="44"/>
          <w:lang w:eastAsia="zh-CN"/>
        </w:rPr>
        <w:t>（</w:t>
      </w:r>
      <w:r>
        <w:rPr>
          <w:rFonts w:hint="eastAsia" w:ascii="方正小标宋简体" w:hAnsi="方正小标宋简体" w:eastAsia="方正小标宋简体" w:cs="方正小标宋简体"/>
          <w:color w:val="auto"/>
          <w:spacing w:val="-13"/>
          <w:sz w:val="44"/>
          <w:szCs w:val="44"/>
        </w:rPr>
        <w:t xml:space="preserve"> 2022—2025 年</w:t>
      </w:r>
      <w:r>
        <w:rPr>
          <w:rFonts w:hint="eastAsia" w:ascii="方正小标宋简体" w:hAnsi="方正小标宋简体" w:eastAsia="方正小标宋简体" w:cs="方正小标宋简体"/>
          <w:color w:val="auto"/>
          <w:spacing w:val="-13"/>
          <w:sz w:val="44"/>
          <w:szCs w:val="44"/>
          <w:lang w:eastAsia="zh-CN"/>
        </w:rPr>
        <w:t>）</w:t>
      </w:r>
      <w:r>
        <w:rPr>
          <w:rFonts w:hint="eastAsia" w:ascii="方正小标宋简体" w:hAnsi="方正小标宋简体" w:eastAsia="方正小标宋简体" w:cs="方正小标宋简体"/>
          <w:color w:val="auto"/>
          <w:spacing w:val="-13"/>
          <w:sz w:val="44"/>
          <w:szCs w:val="44"/>
        </w:rPr>
        <w:t xml:space="preserve"> 的通知</w:t>
      </w:r>
    </w:p>
    <w:p>
      <w:pPr>
        <w:keepNext w:val="0"/>
        <w:keepLines w:val="0"/>
        <w:pageBreakBefore w:val="0"/>
        <w:widowControl w:val="0"/>
        <w:kinsoku/>
        <w:wordWrap/>
        <w:overflowPunct w:val="0"/>
        <w:topLinePunct/>
        <w:autoSpaceDE/>
        <w:autoSpaceDN/>
        <w:bidi w:val="0"/>
        <w:spacing w:line="600" w:lineRule="exact"/>
        <w:ind w:left="0" w:right="0" w:firstLine="634"/>
        <w:jc w:val="both"/>
        <w:rPr>
          <w:rFonts w:hint="eastAsia" w:ascii="仿宋" w:hAnsi="仿宋" w:eastAsia="仿宋" w:cs="仿宋"/>
          <w:color w:val="auto"/>
          <w:spacing w:val="-4"/>
          <w:sz w:val="32"/>
          <w:szCs w:val="32"/>
        </w:rPr>
      </w:pPr>
    </w:p>
    <w:p>
      <w:pPr>
        <w:keepNext w:val="0"/>
        <w:keepLines w:val="0"/>
        <w:pageBreakBefore w:val="0"/>
        <w:widowControl w:val="0"/>
        <w:kinsoku/>
        <w:wordWrap/>
        <w:overflowPunct w:val="0"/>
        <w:topLinePunct/>
        <w:autoSpaceDE/>
        <w:autoSpaceDN/>
        <w:bidi w:val="0"/>
        <w:spacing w:line="600" w:lineRule="exact"/>
        <w:ind w:left="0" w:right="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各镇人民政府、街道办事处，滕州经济技术开发区管委会，市政府各部门，各企事业单位：</w:t>
      </w:r>
    </w:p>
    <w:p>
      <w:pPr>
        <w:keepNext w:val="0"/>
        <w:keepLines w:val="0"/>
        <w:pageBreakBefore w:val="0"/>
        <w:widowControl w:val="0"/>
        <w:kinsoku/>
        <w:wordWrap/>
        <w:overflowPunct w:val="0"/>
        <w:topLinePunct/>
        <w:autoSpaceDE/>
        <w:autoSpaceDN/>
        <w:bidi w:val="0"/>
        <w:spacing w:line="600" w:lineRule="exact"/>
        <w:ind w:left="0"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《滕州市残疾预防行动计划（2022—2025年）》已经市政府同意，现印发给你们，请认真贯彻执行。</w:t>
      </w:r>
    </w:p>
    <w:p>
      <w:pPr>
        <w:keepNext w:val="0"/>
        <w:keepLines w:val="0"/>
        <w:pageBreakBefore w:val="0"/>
        <w:widowControl w:val="0"/>
        <w:kinsoku/>
        <w:wordWrap/>
        <w:overflowPunct w:val="0"/>
        <w:topLinePunct/>
        <w:autoSpaceDE/>
        <w:autoSpaceDN/>
        <w:bidi w:val="0"/>
        <w:spacing w:line="600" w:lineRule="exact"/>
        <w:ind w:left="0" w:right="0" w:firstLine="640" w:firstLineChars="200"/>
        <w:jc w:val="both"/>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kinsoku/>
        <w:wordWrap/>
        <w:overflowPunct w:val="0"/>
        <w:topLinePunct/>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snapToGrid w:val="0"/>
          <w:color w:val="000000"/>
          <w:spacing w:val="0"/>
          <w:kern w:val="2"/>
          <w:sz w:val="32"/>
          <w:szCs w:val="32"/>
          <w:lang w:val="en-US" w:eastAsia="zh-CN"/>
        </w:rPr>
      </w:pPr>
    </w:p>
    <w:p>
      <w:pPr>
        <w:keepNext w:val="0"/>
        <w:keepLines w:val="0"/>
        <w:pageBreakBefore w:val="0"/>
        <w:widowControl w:val="0"/>
        <w:suppressLineNumbers w:val="0"/>
        <w:kinsoku/>
        <w:wordWrap/>
        <w:overflowPunct w:val="0"/>
        <w:topLinePunct/>
        <w:autoSpaceDE/>
        <w:autoSpaceDN/>
        <w:bidi w:val="0"/>
        <w:spacing w:line="600" w:lineRule="exact"/>
        <w:ind w:left="0" w:right="0"/>
        <w:jc w:val="both"/>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suppressLineNumbers w:val="0"/>
        <w:kinsoku/>
        <w:wordWrap/>
        <w:overflowPunct w:val="0"/>
        <w:topLinePunct/>
        <w:autoSpaceDE/>
        <w:autoSpaceDN/>
        <w:bidi w:val="0"/>
        <w:spacing w:line="600" w:lineRule="exact"/>
        <w:ind w:left="0" w:right="0" w:firstLine="4480" w:firstLineChars="14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滕州市人民政府办公室</w:t>
      </w:r>
    </w:p>
    <w:p>
      <w:pPr>
        <w:keepNext w:val="0"/>
        <w:keepLines w:val="0"/>
        <w:pageBreakBefore w:val="0"/>
        <w:widowControl w:val="0"/>
        <w:suppressLineNumbers w:val="0"/>
        <w:kinsoku/>
        <w:wordWrap/>
        <w:overflowPunct w:val="0"/>
        <w:topLinePunct/>
        <w:autoSpaceDE/>
        <w:autoSpaceDN/>
        <w:bidi w:val="0"/>
        <w:spacing w:line="600" w:lineRule="exact"/>
        <w:ind w:left="0" w:right="0" w:firstLine="5120" w:firstLineChars="16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2023年</w:t>
      </w:r>
      <w:r>
        <w:rPr>
          <w:rFonts w:hint="default" w:ascii="仿宋_GB2312" w:hAnsi="仿宋_GB2312" w:eastAsia="仿宋_GB2312" w:cs="仿宋_GB2312"/>
          <w:color w:val="000000"/>
          <w:kern w:val="0"/>
          <w:sz w:val="32"/>
          <w:szCs w:val="32"/>
          <w:lang w:val="en" w:eastAsia="zh-CN" w:bidi="ar"/>
        </w:rPr>
        <w:t>11</w:t>
      </w:r>
      <w:r>
        <w:rPr>
          <w:rFonts w:hint="eastAsia" w:ascii="仿宋_GB2312" w:hAnsi="仿宋_GB2312" w:eastAsia="仿宋_GB2312" w:cs="仿宋_GB2312"/>
          <w:color w:val="000000"/>
          <w:kern w:val="0"/>
          <w:sz w:val="32"/>
          <w:szCs w:val="32"/>
          <w:lang w:val="en-US" w:eastAsia="zh-CN" w:bidi="ar"/>
        </w:rPr>
        <w:t>月</w:t>
      </w:r>
      <w:r>
        <w:rPr>
          <w:rFonts w:hint="default" w:ascii="仿宋_GB2312" w:hAnsi="仿宋_GB2312" w:eastAsia="仿宋_GB2312" w:cs="仿宋_GB2312"/>
          <w:color w:val="000000"/>
          <w:kern w:val="0"/>
          <w:sz w:val="32"/>
          <w:szCs w:val="32"/>
          <w:lang w:val="en" w:eastAsia="zh-CN" w:bidi="ar"/>
        </w:rPr>
        <w:t>13</w:t>
      </w:r>
      <w:r>
        <w:rPr>
          <w:rFonts w:hint="eastAsia" w:ascii="仿宋_GB2312" w:hAnsi="仿宋_GB2312" w:eastAsia="仿宋_GB2312" w:cs="仿宋_GB2312"/>
          <w:color w:val="000000"/>
          <w:kern w:val="0"/>
          <w:sz w:val="32"/>
          <w:szCs w:val="32"/>
          <w:lang w:val="en-US" w:eastAsia="zh-CN" w:bidi="ar"/>
        </w:rPr>
        <w:t>日</w:t>
      </w:r>
    </w:p>
    <w:p>
      <w:pPr>
        <w:keepNext w:val="0"/>
        <w:keepLines w:val="0"/>
        <w:pageBreakBefore w:val="0"/>
        <w:widowControl w:val="0"/>
        <w:suppressLineNumbers w:val="0"/>
        <w:kinsoku/>
        <w:wordWrap/>
        <w:overflowPunct w:val="0"/>
        <w:topLinePunct/>
        <w:autoSpaceDE/>
        <w:autoSpaceDN/>
        <w:bidi w:val="0"/>
        <w:spacing w:line="600" w:lineRule="exact"/>
        <w:ind w:left="0" w:right="0"/>
        <w:jc w:val="both"/>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suppressLineNumbers w:val="0"/>
        <w:kinsoku/>
        <w:wordWrap/>
        <w:overflowPunct w:val="0"/>
        <w:topLinePunct/>
        <w:autoSpaceDE/>
        <w:autoSpaceDN/>
        <w:bidi w:val="0"/>
        <w:spacing w:line="600" w:lineRule="exact"/>
        <w:ind w:left="0" w:right="0"/>
        <w:jc w:val="both"/>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suppressLineNumbers w:val="0"/>
        <w:kinsoku/>
        <w:wordWrap/>
        <w:overflowPunct w:val="0"/>
        <w:topLinePunct/>
        <w:autoSpaceDE/>
        <w:autoSpaceDN/>
        <w:bidi w:val="0"/>
        <w:spacing w:line="600" w:lineRule="exac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（此件公开发布）</w:t>
      </w:r>
    </w:p>
    <w:p>
      <w:pPr>
        <w:keepNext w:val="0"/>
        <w:keepLines w:val="0"/>
        <w:pageBreakBefore w:val="0"/>
        <w:widowControl w:val="0"/>
        <w:kinsoku/>
        <w:wordWrap/>
        <w:overflowPunct w:val="0"/>
        <w:topLinePunct/>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val="0"/>
        <w:kinsoku/>
        <w:wordWrap/>
        <w:overflowPunct w:val="0"/>
        <w:topLinePunct/>
        <w:autoSpaceDE/>
        <w:autoSpaceDN/>
        <w:bidi w:val="0"/>
        <w:adjustRightInd w:val="0"/>
        <w:snapToGrid w:val="0"/>
        <w:spacing w:line="600" w:lineRule="exact"/>
        <w:ind w:left="0"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
          <w:sz w:val="44"/>
          <w:szCs w:val="44"/>
          <w:lang w:eastAsia="zh-CN"/>
        </w:rPr>
        <w:t>滕州</w:t>
      </w:r>
      <w:r>
        <w:rPr>
          <w:rFonts w:hint="eastAsia" w:ascii="方正小标宋简体" w:hAnsi="方正小标宋简体" w:eastAsia="方正小标宋简体" w:cs="方正小标宋简体"/>
          <w:color w:val="auto"/>
          <w:spacing w:val="-1"/>
          <w:sz w:val="44"/>
          <w:szCs w:val="44"/>
        </w:rPr>
        <w:t>市残疾预防行动计</w:t>
      </w:r>
      <w:r>
        <w:rPr>
          <w:rFonts w:hint="eastAsia" w:ascii="方正小标宋简体" w:hAnsi="方正小标宋简体" w:eastAsia="方正小标宋简体" w:cs="方正小标宋简体"/>
          <w:color w:val="auto"/>
          <w:sz w:val="44"/>
          <w:szCs w:val="44"/>
        </w:rPr>
        <w:t>划</w:t>
      </w:r>
    </w:p>
    <w:p>
      <w:pPr>
        <w:keepNext w:val="0"/>
        <w:keepLines w:val="0"/>
        <w:pageBreakBefore w:val="0"/>
        <w:widowControl w:val="0"/>
        <w:tabs>
          <w:tab w:val="left" w:pos="2792"/>
        </w:tabs>
        <w:kinsoku/>
        <w:wordWrap/>
        <w:overflowPunct w:val="0"/>
        <w:topLinePunct/>
        <w:autoSpaceDE/>
        <w:autoSpaceDN/>
        <w:bidi w:val="0"/>
        <w:adjustRightInd w:val="0"/>
        <w:snapToGrid w:val="0"/>
        <w:spacing w:line="600" w:lineRule="exact"/>
        <w:ind w:left="0" w:right="0"/>
        <w:jc w:val="center"/>
        <w:textAlignment w:val="baseline"/>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w:t>
      </w:r>
      <w:r>
        <w:rPr>
          <w:rFonts w:hint="eastAsia" w:ascii="方正小标宋简体" w:hAnsi="方正小标宋简体" w:eastAsia="方正小标宋简体" w:cs="方正小标宋简体"/>
          <w:color w:val="auto"/>
          <w:spacing w:val="-21"/>
          <w:sz w:val="44"/>
          <w:szCs w:val="44"/>
        </w:rPr>
        <w:t>2022—2025年</w:t>
      </w:r>
      <w:r>
        <w:rPr>
          <w:rFonts w:hint="eastAsia" w:ascii="方正小标宋简体" w:hAnsi="方正小标宋简体" w:eastAsia="方正小标宋简体" w:cs="方正小标宋简体"/>
          <w:color w:val="auto"/>
          <w:spacing w:val="-21"/>
          <w:sz w:val="44"/>
          <w:szCs w:val="44"/>
          <w:lang w:eastAsia="zh-CN"/>
        </w:rPr>
        <w:t>）</w:t>
      </w:r>
    </w:p>
    <w:p>
      <w:pPr>
        <w:keepNext w:val="0"/>
        <w:keepLines w:val="0"/>
        <w:pageBreakBefore w:val="0"/>
        <w:widowControl w:val="0"/>
        <w:kinsoku/>
        <w:wordWrap/>
        <w:overflowPunct w:val="0"/>
        <w:topLinePunct/>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val="0"/>
        <w:kinsoku/>
        <w:wordWrap/>
        <w:overflowPunct w:val="0"/>
        <w:topLinePunct/>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为做好“十四五”时期残疾预防工作，有效减少和控制残疾发生、发展，扎实推进健康滕州建设，根据《山东省人民政府办公厅关于印发山东省残疾预防行动计划（2022—2025年）的通知》（鲁政办发〔2022〕11号）、《枣庄市人民政府办公室关于印发枣庄市残疾预防行动计划（2022—2025年）的通知》（枣政办发〔2022〕11号）、《滕州市人民政府关于印发滕州市残疾人事业发展“十四五”规划的通知》（滕政字〔2022〕23号） 精神，结合我市实际，制定本行动计划。</w:t>
      </w:r>
    </w:p>
    <w:p>
      <w:pPr>
        <w:keepNext w:val="0"/>
        <w:keepLines w:val="0"/>
        <w:pageBreakBefore w:val="0"/>
        <w:widowControl w:val="0"/>
        <w:kinsoku/>
        <w:wordWrap/>
        <w:overflowPunct w:val="0"/>
        <w:topLinePunct/>
        <w:autoSpaceDE/>
        <w:autoSpaceDN/>
        <w:bidi w:val="0"/>
        <w:adjustRightInd/>
        <w:snapToGrid/>
        <w:spacing w:line="600" w:lineRule="exact"/>
        <w:ind w:left="0" w:right="0" w:firstLine="640" w:firstLineChars="200"/>
        <w:jc w:val="both"/>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一、总体要求</w:t>
      </w:r>
    </w:p>
    <w:p>
      <w:pPr>
        <w:keepNext w:val="0"/>
        <w:keepLines w:val="0"/>
        <w:pageBreakBefore w:val="0"/>
        <w:widowControl w:val="0"/>
        <w:kinsoku/>
        <w:wordWrap/>
        <w:overflowPunct w:val="0"/>
        <w:topLinePunct/>
        <w:autoSpaceDE/>
        <w:autoSpaceDN/>
        <w:bidi w:val="0"/>
        <w:adjustRightInd/>
        <w:snapToGrid/>
        <w:spacing w:line="600" w:lineRule="exact"/>
        <w:ind w:left="0" w:right="0" w:firstLine="640" w:firstLineChars="200"/>
        <w:jc w:val="both"/>
        <w:textAlignment w:val="auto"/>
        <w:rPr>
          <w:rFonts w:hint="eastAsia" w:ascii="楷体_GB2312" w:hAnsi="楷体_GB2312" w:eastAsia="楷体_GB2312" w:cs="楷体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（一）指导思想</w:t>
      </w:r>
    </w:p>
    <w:p>
      <w:pPr>
        <w:keepNext w:val="0"/>
        <w:keepLines w:val="0"/>
        <w:pageBreakBefore w:val="0"/>
        <w:widowControl w:val="0"/>
        <w:kinsoku/>
        <w:wordWrap/>
        <w:overflowPunct w:val="0"/>
        <w:topLinePunct/>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以习近平新时代中国特色社会主义思想为指导，全面贯彻落实党的十九大和二十大精神，认真落实上级和市委、市政府部署要求，坚持以人民为中心的发展思想，注重预防为主与康复服务相结合，将残疾预防融入经济社会发展各领域，提高全社会残疾风险综合防控能力，有力保障人民群众生命安全和身体健康。</w:t>
      </w:r>
    </w:p>
    <w:p>
      <w:pPr>
        <w:keepNext w:val="0"/>
        <w:keepLines w:val="0"/>
        <w:pageBreakBefore w:val="0"/>
        <w:widowControl w:val="0"/>
        <w:kinsoku/>
        <w:wordWrap/>
        <w:overflowPunct w:val="0"/>
        <w:topLinePunct/>
        <w:autoSpaceDE/>
        <w:autoSpaceDN/>
        <w:bidi w:val="0"/>
        <w:adjustRightInd/>
        <w:snapToGrid/>
        <w:spacing w:line="600" w:lineRule="exact"/>
        <w:ind w:left="0" w:right="0" w:firstLine="640" w:firstLineChars="200"/>
        <w:jc w:val="both"/>
        <w:textAlignment w:val="auto"/>
        <w:rPr>
          <w:rFonts w:hint="eastAsia" w:ascii="楷体_GB2312" w:hAnsi="楷体_GB2312" w:eastAsia="楷体_GB2312" w:cs="楷体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（二）基本原则</w:t>
      </w:r>
    </w:p>
    <w:p>
      <w:pPr>
        <w:keepNext w:val="0"/>
        <w:keepLines w:val="0"/>
        <w:pageBreakBefore w:val="0"/>
        <w:widowControl w:val="0"/>
        <w:kinsoku/>
        <w:wordWrap/>
        <w:overflowPunct w:val="0"/>
        <w:topLinePunct/>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政府主导，联防联控。进一步完善政府主导，多部门协调联动、社会共同参与的残疾预防工作格局，完善防治策略、制度安排和保障政策。</w:t>
      </w:r>
    </w:p>
    <w:p>
      <w:pPr>
        <w:keepNext w:val="0"/>
        <w:keepLines w:val="0"/>
        <w:pageBreakBefore w:val="0"/>
        <w:widowControl w:val="0"/>
        <w:kinsoku/>
        <w:wordWrap/>
        <w:overflowPunct w:val="0"/>
        <w:topLinePunct/>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人人参与，共建共享。广泛开展残疾预防宣传教育，增强公民个人残疾预防意识和能力，让残疾预防知识、行为和技能成为全民普遍具备的素养和能力。</w:t>
      </w:r>
    </w:p>
    <w:p>
      <w:pPr>
        <w:keepNext w:val="0"/>
        <w:keepLines w:val="0"/>
        <w:pageBreakBefore w:val="0"/>
        <w:widowControl w:val="0"/>
        <w:kinsoku/>
        <w:wordWrap/>
        <w:overflowPunct w:val="0"/>
        <w:topLinePunct/>
        <w:autoSpaceDE/>
        <w:autoSpaceDN/>
        <w:bidi w:val="0"/>
        <w:adjustRightInd/>
        <w:snapToGrid/>
        <w:spacing w:line="600" w:lineRule="exact"/>
        <w:ind w:left="0" w:right="0" w:firstLine="640" w:firstLineChars="200"/>
        <w:jc w:val="both"/>
        <w:textAlignment w:val="auto"/>
        <w:rPr>
          <w:rFonts w:hint="default"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预防为主，系统推进。推动形成覆盖全人群全生命周期的残疾预防三级防控体系，推进关口前移、早期干预，不断完善早期筛查、诊断、治疗、康复一体化服务体系。</w:t>
      </w:r>
    </w:p>
    <w:p>
      <w:pPr>
        <w:keepNext w:val="0"/>
        <w:keepLines w:val="0"/>
        <w:pageBreakBefore w:val="0"/>
        <w:widowControl w:val="0"/>
        <w:kinsoku/>
        <w:wordWrap/>
        <w:overflowPunct w:val="0"/>
        <w:topLinePunct/>
        <w:autoSpaceDE/>
        <w:autoSpaceDN/>
        <w:bidi w:val="0"/>
        <w:adjustRightInd/>
        <w:snapToGrid/>
        <w:spacing w:line="600" w:lineRule="exact"/>
        <w:ind w:left="0" w:right="0" w:firstLine="640" w:firstLineChars="200"/>
        <w:jc w:val="both"/>
        <w:textAlignment w:val="auto"/>
        <w:rPr>
          <w:rFonts w:hint="eastAsia" w:ascii="楷体_GB2312" w:hAnsi="楷体_GB2312" w:eastAsia="楷体_GB2312" w:cs="楷体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（三）工作目标</w:t>
      </w:r>
    </w:p>
    <w:p>
      <w:pPr>
        <w:keepNext w:val="0"/>
        <w:keepLines w:val="0"/>
        <w:pageBreakBefore w:val="0"/>
        <w:widowControl w:val="0"/>
        <w:kinsoku/>
        <w:wordWrap/>
        <w:overflowPunct w:val="0"/>
        <w:topLinePunct/>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到2025年底，全市残疾预防政策体系进一步完善，残疾预防服务网络更加健全，公众残疾预防素养明显提升，遗传和</w:t>
      </w:r>
      <w:r>
        <w:rPr>
          <w:rFonts w:hint="eastAsia" w:ascii="仿宋_GB2312" w:hAnsi="仿宋_GB2312" w:eastAsia="仿宋_GB2312" w:cs="仿宋_GB2312"/>
          <w:snapToGrid/>
          <w:color w:val="auto"/>
          <w:spacing w:val="-6"/>
          <w:kern w:val="2"/>
          <w:sz w:val="32"/>
          <w:szCs w:val="32"/>
          <w:lang w:val="en-US" w:eastAsia="zh-CN" w:bidi="ar-SA"/>
        </w:rPr>
        <w:t>发育、疾病、伤害等主要致残因素得到有效防控，残疾康复服务状况持续改善，</w:t>
      </w:r>
      <w:r>
        <w:rPr>
          <w:rFonts w:hint="eastAsia" w:ascii="仿宋_GB2312" w:hAnsi="仿宋_GB2312" w:eastAsia="仿宋_GB2312" w:cs="仿宋_GB2312"/>
          <w:snapToGrid/>
          <w:color w:val="auto"/>
          <w:kern w:val="2"/>
          <w:sz w:val="32"/>
          <w:szCs w:val="32"/>
          <w:lang w:val="en-US" w:eastAsia="zh-CN" w:bidi="ar-SA"/>
        </w:rPr>
        <w:t>残疾预防主要指标处于全省中上水平。</w:t>
      </w:r>
    </w:p>
    <w:p>
      <w:pPr>
        <w:keepNext w:val="0"/>
        <w:keepLines w:val="0"/>
        <w:pageBreakBefore w:val="0"/>
        <w:widowControl w:val="0"/>
        <w:kinsoku/>
        <w:wordWrap/>
        <w:overflowPunct w:val="0"/>
        <w:topLinePunct/>
        <w:autoSpaceDE/>
        <w:autoSpaceDN/>
        <w:bidi w:val="0"/>
        <w:adjustRightInd/>
        <w:snapToGrid/>
        <w:spacing w:line="600" w:lineRule="exact"/>
        <w:ind w:left="0" w:right="0" w:firstLine="640" w:firstLineChars="200"/>
        <w:jc w:val="both"/>
        <w:textAlignment w:val="auto"/>
        <w:rPr>
          <w:rFonts w:hint="eastAsia" w:ascii="楷体_GB2312" w:hAnsi="楷体_GB2312" w:eastAsia="楷体_GB2312" w:cs="楷体_GB2312"/>
          <w:snapToGrid/>
          <w:color w:val="auto"/>
          <w:kern w:val="2"/>
          <w:sz w:val="32"/>
          <w:szCs w:val="32"/>
          <w:lang w:val="en-US" w:eastAsia="zh-CN" w:bidi="ar-SA"/>
        </w:rPr>
      </w:pPr>
      <w:r>
        <w:rPr>
          <w:rFonts w:hint="eastAsia" w:ascii="楷体_GB2312" w:hAnsi="楷体_GB2312" w:eastAsia="楷体_GB2312" w:cs="楷体_GB2312"/>
          <w:snapToGrid/>
          <w:color w:val="auto"/>
          <w:kern w:val="2"/>
          <w:sz w:val="32"/>
          <w:szCs w:val="32"/>
          <w:lang w:val="en-US" w:eastAsia="zh-CN" w:bidi="ar-SA"/>
        </w:rPr>
        <w:t>（四）主要指标</w:t>
      </w:r>
    </w:p>
    <w:tbl>
      <w:tblPr>
        <w:tblStyle w:val="13"/>
        <w:tblW w:w="85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7"/>
        <w:gridCol w:w="495"/>
        <w:gridCol w:w="4770"/>
        <w:gridCol w:w="15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0" w:hRule="atLeast"/>
          <w:tblHeader/>
          <w:jc w:val="center"/>
        </w:trPr>
        <w:tc>
          <w:tcPr>
            <w:tcW w:w="1687" w:type="dxa"/>
            <w:tcBorders>
              <w:lef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adjustRightInd/>
              <w:snapToGrid/>
              <w:spacing w:line="240" w:lineRule="auto"/>
              <w:ind w:right="0" w:firstLine="0" w:firstLineChars="0"/>
              <w:jc w:val="center"/>
              <w:textAlignment w:val="auto"/>
              <w:rPr>
                <w:rFonts w:hint="eastAsia" w:ascii="黑体" w:hAnsi="黑体" w:eastAsia="黑体" w:cs="黑体"/>
                <w:snapToGrid/>
                <w:color w:val="auto"/>
                <w:spacing w:val="0"/>
                <w:kern w:val="2"/>
                <w:position w:val="0"/>
                <w:sz w:val="24"/>
                <w:szCs w:val="24"/>
                <w:lang w:val="en-US" w:eastAsia="zh-CN" w:bidi="ar-SA"/>
              </w:rPr>
            </w:pPr>
            <w:r>
              <w:rPr>
                <w:rFonts w:hint="eastAsia" w:ascii="黑体" w:hAnsi="黑体" w:eastAsia="黑体" w:cs="黑体"/>
                <w:snapToGrid/>
                <w:color w:val="auto"/>
                <w:spacing w:val="0"/>
                <w:kern w:val="2"/>
                <w:position w:val="0"/>
                <w:sz w:val="24"/>
                <w:szCs w:val="24"/>
                <w:lang w:val="en-US" w:eastAsia="zh-CN" w:bidi="ar-SA"/>
              </w:rPr>
              <w:t>领 域</w:t>
            </w:r>
          </w:p>
        </w:tc>
        <w:tc>
          <w:tcPr>
            <w:tcW w:w="5265" w:type="dxa"/>
            <w:gridSpan w:val="2"/>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adjustRightInd/>
              <w:snapToGrid/>
              <w:spacing w:line="240" w:lineRule="auto"/>
              <w:ind w:left="0" w:right="0" w:firstLine="0" w:firstLineChars="0"/>
              <w:jc w:val="center"/>
              <w:textAlignment w:val="auto"/>
              <w:rPr>
                <w:rFonts w:hint="eastAsia" w:ascii="黑体" w:hAnsi="黑体" w:eastAsia="黑体" w:cs="黑体"/>
                <w:snapToGrid/>
                <w:color w:val="auto"/>
                <w:spacing w:val="0"/>
                <w:kern w:val="2"/>
                <w:position w:val="0"/>
                <w:sz w:val="24"/>
                <w:szCs w:val="24"/>
                <w:lang w:val="en-US" w:eastAsia="zh-CN" w:bidi="ar-SA"/>
              </w:rPr>
            </w:pPr>
            <w:r>
              <w:rPr>
                <w:rFonts w:hint="eastAsia" w:ascii="黑体" w:hAnsi="黑体" w:eastAsia="黑体" w:cs="黑体"/>
                <w:snapToGrid/>
                <w:color w:val="auto"/>
                <w:spacing w:val="0"/>
                <w:kern w:val="2"/>
                <w:position w:val="0"/>
                <w:sz w:val="24"/>
                <w:szCs w:val="24"/>
                <w:lang w:val="en-US" w:eastAsia="zh-CN" w:bidi="ar-SA"/>
              </w:rPr>
              <w:t>残 疾 预 防 主 要 指 标</w:t>
            </w:r>
          </w:p>
        </w:tc>
        <w:tc>
          <w:tcPr>
            <w:tcW w:w="1552" w:type="dxa"/>
            <w:tcBorders>
              <w:righ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adjustRightInd/>
              <w:snapToGrid/>
              <w:spacing w:line="240" w:lineRule="auto"/>
              <w:ind w:left="0" w:right="0" w:firstLine="0" w:firstLineChars="0"/>
              <w:jc w:val="center"/>
              <w:textAlignment w:val="auto"/>
              <w:rPr>
                <w:rFonts w:hint="eastAsia" w:ascii="黑体" w:hAnsi="黑体" w:eastAsia="黑体" w:cs="黑体"/>
                <w:snapToGrid/>
                <w:color w:val="auto"/>
                <w:spacing w:val="0"/>
                <w:kern w:val="2"/>
                <w:position w:val="0"/>
                <w:sz w:val="24"/>
                <w:szCs w:val="24"/>
                <w:lang w:val="en-US" w:eastAsia="zh-CN" w:bidi="ar-SA"/>
              </w:rPr>
            </w:pPr>
            <w:r>
              <w:rPr>
                <w:rFonts w:hint="eastAsia" w:ascii="黑体" w:hAnsi="黑体" w:eastAsia="黑体" w:cs="黑体"/>
                <w:snapToGrid/>
                <w:color w:val="auto"/>
                <w:spacing w:val="0"/>
                <w:kern w:val="2"/>
                <w:position w:val="0"/>
                <w:sz w:val="24"/>
                <w:szCs w:val="24"/>
                <w:lang w:val="en-US" w:eastAsia="zh-CN" w:bidi="ar-SA"/>
              </w:rPr>
              <w:t>2025年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3" w:hRule="atLeast"/>
          <w:jc w:val="center"/>
        </w:trPr>
        <w:tc>
          <w:tcPr>
            <w:tcW w:w="1687" w:type="dxa"/>
            <w:tcBorders>
              <w:lef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残疾预防知识普及行动</w:t>
            </w:r>
          </w:p>
        </w:tc>
        <w:tc>
          <w:tcPr>
            <w:tcW w:w="495"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1</w:t>
            </w:r>
          </w:p>
        </w:tc>
        <w:tc>
          <w:tcPr>
            <w:tcW w:w="4770"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left"/>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重点人群残疾预防知识普及率</w:t>
            </w:r>
          </w:p>
        </w:tc>
        <w:tc>
          <w:tcPr>
            <w:tcW w:w="1552" w:type="dxa"/>
            <w:tcBorders>
              <w:righ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5" w:hRule="atLeast"/>
          <w:jc w:val="center"/>
        </w:trPr>
        <w:tc>
          <w:tcPr>
            <w:tcW w:w="1687" w:type="dxa"/>
            <w:vMerge w:val="restart"/>
            <w:tcBorders>
              <w:left w:val="single" w:color="000000" w:sz="10" w:space="0"/>
              <w:bottom w:val="nil"/>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出生缺陷和</w:t>
            </w:r>
          </w:p>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发育障碍致残</w:t>
            </w:r>
          </w:p>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防控行动</w:t>
            </w:r>
          </w:p>
        </w:tc>
        <w:tc>
          <w:tcPr>
            <w:tcW w:w="495"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2</w:t>
            </w:r>
          </w:p>
        </w:tc>
        <w:tc>
          <w:tcPr>
            <w:tcW w:w="4770"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left"/>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婚前医学检查率</w:t>
            </w:r>
          </w:p>
        </w:tc>
        <w:tc>
          <w:tcPr>
            <w:tcW w:w="1552" w:type="dxa"/>
            <w:tcBorders>
              <w:righ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1" w:hRule="atLeast"/>
          <w:jc w:val="center"/>
        </w:trPr>
        <w:tc>
          <w:tcPr>
            <w:tcW w:w="1687" w:type="dxa"/>
            <w:vMerge w:val="continue"/>
            <w:tcBorders>
              <w:top w:val="nil"/>
              <w:left w:val="single" w:color="000000" w:sz="10" w:space="0"/>
              <w:bottom w:val="nil"/>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p>
        </w:tc>
        <w:tc>
          <w:tcPr>
            <w:tcW w:w="495"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3</w:t>
            </w:r>
          </w:p>
        </w:tc>
        <w:tc>
          <w:tcPr>
            <w:tcW w:w="4770"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left"/>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孕前优生健康检查目标人群覆盖率</w:t>
            </w:r>
          </w:p>
        </w:tc>
        <w:tc>
          <w:tcPr>
            <w:tcW w:w="1552" w:type="dxa"/>
            <w:tcBorders>
              <w:righ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67" w:hRule="atLeast"/>
          <w:jc w:val="center"/>
        </w:trPr>
        <w:tc>
          <w:tcPr>
            <w:tcW w:w="1687" w:type="dxa"/>
            <w:vMerge w:val="continue"/>
            <w:tcBorders>
              <w:top w:val="nil"/>
              <w:left w:val="single" w:color="000000" w:sz="10" w:space="0"/>
              <w:bottom w:val="nil"/>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p>
        </w:tc>
        <w:tc>
          <w:tcPr>
            <w:tcW w:w="495"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4</w:t>
            </w:r>
          </w:p>
        </w:tc>
        <w:tc>
          <w:tcPr>
            <w:tcW w:w="4770"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left"/>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孕产妇系统管理率</w:t>
            </w:r>
          </w:p>
        </w:tc>
        <w:tc>
          <w:tcPr>
            <w:tcW w:w="1552" w:type="dxa"/>
            <w:tcBorders>
              <w:righ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0" w:hRule="atLeast"/>
          <w:jc w:val="center"/>
        </w:trPr>
        <w:tc>
          <w:tcPr>
            <w:tcW w:w="1687" w:type="dxa"/>
            <w:vMerge w:val="continue"/>
            <w:tcBorders>
              <w:top w:val="nil"/>
              <w:left w:val="single" w:color="000000" w:sz="10" w:space="0"/>
              <w:bottom w:val="nil"/>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p>
        </w:tc>
        <w:tc>
          <w:tcPr>
            <w:tcW w:w="495"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5</w:t>
            </w:r>
          </w:p>
        </w:tc>
        <w:tc>
          <w:tcPr>
            <w:tcW w:w="4770"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left"/>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产前筛查率</w:t>
            </w:r>
          </w:p>
        </w:tc>
        <w:tc>
          <w:tcPr>
            <w:tcW w:w="1552" w:type="dxa"/>
            <w:tcBorders>
              <w:righ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81" w:hRule="atLeast"/>
          <w:jc w:val="center"/>
        </w:trPr>
        <w:tc>
          <w:tcPr>
            <w:tcW w:w="1687" w:type="dxa"/>
            <w:vMerge w:val="continue"/>
            <w:tcBorders>
              <w:top w:val="nil"/>
              <w:left w:val="single" w:color="000000" w:sz="10" w:space="0"/>
              <w:bottom w:val="nil"/>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p>
        </w:tc>
        <w:tc>
          <w:tcPr>
            <w:tcW w:w="495"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6</w:t>
            </w:r>
          </w:p>
        </w:tc>
        <w:tc>
          <w:tcPr>
            <w:tcW w:w="4770"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left"/>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新生儿遗传代谢性疾病筛查率</w:t>
            </w:r>
          </w:p>
        </w:tc>
        <w:tc>
          <w:tcPr>
            <w:tcW w:w="1552" w:type="dxa"/>
            <w:tcBorders>
              <w:righ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71" w:hRule="atLeast"/>
          <w:jc w:val="center"/>
        </w:trPr>
        <w:tc>
          <w:tcPr>
            <w:tcW w:w="1687" w:type="dxa"/>
            <w:vMerge w:val="continue"/>
            <w:tcBorders>
              <w:top w:val="nil"/>
              <w:left w:val="single" w:color="000000" w:sz="10" w:space="0"/>
              <w:bottom w:val="nil"/>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p>
        </w:tc>
        <w:tc>
          <w:tcPr>
            <w:tcW w:w="495"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7</w:t>
            </w:r>
          </w:p>
        </w:tc>
        <w:tc>
          <w:tcPr>
            <w:tcW w:w="4770"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left"/>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新生儿听力筛查率</w:t>
            </w:r>
          </w:p>
        </w:tc>
        <w:tc>
          <w:tcPr>
            <w:tcW w:w="1552" w:type="dxa"/>
            <w:tcBorders>
              <w:righ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7" w:hRule="atLeast"/>
          <w:jc w:val="center"/>
        </w:trPr>
        <w:tc>
          <w:tcPr>
            <w:tcW w:w="1687" w:type="dxa"/>
            <w:vMerge w:val="continue"/>
            <w:tcBorders>
              <w:top w:val="nil"/>
              <w:lef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p>
        </w:tc>
        <w:tc>
          <w:tcPr>
            <w:tcW w:w="495"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8</w:t>
            </w:r>
          </w:p>
        </w:tc>
        <w:tc>
          <w:tcPr>
            <w:tcW w:w="4770"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left"/>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3岁以下儿童系统管理率</w:t>
            </w:r>
          </w:p>
        </w:tc>
        <w:tc>
          <w:tcPr>
            <w:tcW w:w="1552" w:type="dxa"/>
            <w:tcBorders>
              <w:righ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8" w:hRule="atLeast"/>
          <w:jc w:val="center"/>
        </w:trPr>
        <w:tc>
          <w:tcPr>
            <w:tcW w:w="1687" w:type="dxa"/>
            <w:vMerge w:val="restart"/>
            <w:tcBorders>
              <w:left w:val="single" w:color="000000" w:sz="10" w:space="0"/>
              <w:bottom w:val="nil"/>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疾病致残防控行动</w:t>
            </w:r>
          </w:p>
        </w:tc>
        <w:tc>
          <w:tcPr>
            <w:tcW w:w="495"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9</w:t>
            </w:r>
          </w:p>
        </w:tc>
        <w:tc>
          <w:tcPr>
            <w:tcW w:w="4770"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left"/>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高血压患者基层规范管理服务率</w:t>
            </w:r>
          </w:p>
        </w:tc>
        <w:tc>
          <w:tcPr>
            <w:tcW w:w="1552" w:type="dxa"/>
            <w:tcBorders>
              <w:righ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6" w:hRule="atLeast"/>
          <w:jc w:val="center"/>
        </w:trPr>
        <w:tc>
          <w:tcPr>
            <w:tcW w:w="1687" w:type="dxa"/>
            <w:vMerge w:val="continue"/>
            <w:tcBorders>
              <w:top w:val="nil"/>
              <w:left w:val="single" w:color="000000" w:sz="10" w:space="0"/>
              <w:bottom w:val="nil"/>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p>
        </w:tc>
        <w:tc>
          <w:tcPr>
            <w:tcW w:w="495"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10</w:t>
            </w:r>
          </w:p>
        </w:tc>
        <w:tc>
          <w:tcPr>
            <w:tcW w:w="4770"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left"/>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2 型糖尿病患者基层规范管理服务率</w:t>
            </w:r>
          </w:p>
        </w:tc>
        <w:tc>
          <w:tcPr>
            <w:tcW w:w="1552" w:type="dxa"/>
            <w:tcBorders>
              <w:righ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5" w:hRule="atLeast"/>
          <w:jc w:val="center"/>
        </w:trPr>
        <w:tc>
          <w:tcPr>
            <w:tcW w:w="1687" w:type="dxa"/>
            <w:vMerge w:val="continue"/>
            <w:tcBorders>
              <w:top w:val="nil"/>
              <w:left w:val="single" w:color="000000" w:sz="10" w:space="0"/>
              <w:bottom w:val="nil"/>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p>
        </w:tc>
        <w:tc>
          <w:tcPr>
            <w:tcW w:w="495"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11</w:t>
            </w:r>
          </w:p>
        </w:tc>
        <w:tc>
          <w:tcPr>
            <w:tcW w:w="4770"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left"/>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百万人口白内障复明手术人数</w:t>
            </w:r>
          </w:p>
        </w:tc>
        <w:tc>
          <w:tcPr>
            <w:tcW w:w="1552" w:type="dxa"/>
            <w:tcBorders>
              <w:righ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＞3500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93" w:hRule="atLeast"/>
          <w:jc w:val="center"/>
        </w:trPr>
        <w:tc>
          <w:tcPr>
            <w:tcW w:w="1687" w:type="dxa"/>
            <w:vMerge w:val="continue"/>
            <w:tcBorders>
              <w:top w:val="nil"/>
              <w:left w:val="single" w:color="000000" w:sz="10" w:space="0"/>
              <w:bottom w:val="nil"/>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p>
        </w:tc>
        <w:tc>
          <w:tcPr>
            <w:tcW w:w="495"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12</w:t>
            </w:r>
          </w:p>
        </w:tc>
        <w:tc>
          <w:tcPr>
            <w:tcW w:w="4770"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left"/>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以社区为单位心理咨询室或社会工作室建成率</w:t>
            </w:r>
          </w:p>
        </w:tc>
        <w:tc>
          <w:tcPr>
            <w:tcW w:w="1552" w:type="dxa"/>
            <w:tcBorders>
              <w:righ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3" w:hRule="atLeast"/>
          <w:jc w:val="center"/>
        </w:trPr>
        <w:tc>
          <w:tcPr>
            <w:tcW w:w="1687" w:type="dxa"/>
            <w:vMerge w:val="continue"/>
            <w:tcBorders>
              <w:top w:val="nil"/>
              <w:left w:val="single" w:color="000000" w:sz="10" w:space="0"/>
              <w:bottom w:val="nil"/>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p>
        </w:tc>
        <w:tc>
          <w:tcPr>
            <w:tcW w:w="495"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13</w:t>
            </w:r>
          </w:p>
        </w:tc>
        <w:tc>
          <w:tcPr>
            <w:tcW w:w="4770"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left"/>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登记在册的严重精神障碍患者规范管理率</w:t>
            </w:r>
          </w:p>
        </w:tc>
        <w:tc>
          <w:tcPr>
            <w:tcW w:w="1552" w:type="dxa"/>
            <w:tcBorders>
              <w:righ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3" w:hRule="atLeast"/>
          <w:jc w:val="center"/>
        </w:trPr>
        <w:tc>
          <w:tcPr>
            <w:tcW w:w="1687" w:type="dxa"/>
            <w:vMerge w:val="continue"/>
            <w:tcBorders>
              <w:top w:val="nil"/>
              <w:left w:val="single" w:color="000000" w:sz="10" w:space="0"/>
              <w:bottom w:val="nil"/>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p>
        </w:tc>
        <w:tc>
          <w:tcPr>
            <w:tcW w:w="495"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14</w:t>
            </w:r>
          </w:p>
        </w:tc>
        <w:tc>
          <w:tcPr>
            <w:tcW w:w="4770"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left"/>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适龄儿童免疫规划疫苗接种率</w:t>
            </w:r>
          </w:p>
        </w:tc>
        <w:tc>
          <w:tcPr>
            <w:tcW w:w="1552" w:type="dxa"/>
            <w:tcBorders>
              <w:righ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3" w:hRule="atLeast"/>
          <w:jc w:val="center"/>
        </w:trPr>
        <w:tc>
          <w:tcPr>
            <w:tcW w:w="1687" w:type="dxa"/>
            <w:vMerge w:val="continue"/>
            <w:tcBorders>
              <w:top w:val="nil"/>
              <w:left w:val="single" w:color="000000" w:sz="10" w:space="0"/>
              <w:bottom w:val="nil"/>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p>
        </w:tc>
        <w:tc>
          <w:tcPr>
            <w:tcW w:w="495"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15</w:t>
            </w:r>
          </w:p>
        </w:tc>
        <w:tc>
          <w:tcPr>
            <w:tcW w:w="4770"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left"/>
              <w:rPr>
                <w:rFonts w:hint="eastAsia" w:ascii="仿宋_GB2312" w:hAnsi="仿宋_GB2312" w:eastAsia="仿宋_GB2312" w:cs="仿宋_GB2312"/>
                <w:color w:val="auto"/>
                <w:spacing w:val="0"/>
                <w:position w:val="0"/>
                <w:sz w:val="24"/>
                <w:szCs w:val="24"/>
                <w:lang w:val="en-US" w:eastAsia="zh-CN"/>
              </w:rPr>
            </w:pPr>
            <w:r>
              <w:rPr>
                <w:rFonts w:hint="eastAsia" w:ascii="仿宋_GB2312" w:hAnsi="仿宋_GB2312" w:eastAsia="仿宋_GB2312" w:cs="仿宋_GB2312"/>
                <w:color w:val="auto"/>
                <w:spacing w:val="0"/>
                <w:position w:val="0"/>
                <w:sz w:val="24"/>
                <w:szCs w:val="24"/>
              </w:rPr>
              <w:t>控制和消除重大地方病</w:t>
            </w:r>
            <w:r>
              <w:rPr>
                <w:rFonts w:hint="eastAsia" w:ascii="仿宋_GB2312" w:hAnsi="仿宋_GB2312" w:eastAsia="仿宋_GB2312" w:cs="仿宋_GB2312"/>
                <w:color w:val="auto"/>
                <w:spacing w:val="0"/>
                <w:position w:val="0"/>
                <w:sz w:val="24"/>
                <w:szCs w:val="24"/>
                <w:lang w:val="en-US" w:eastAsia="zh-CN"/>
              </w:rPr>
              <w:t>的镇（街）</w:t>
            </w:r>
          </w:p>
        </w:tc>
        <w:tc>
          <w:tcPr>
            <w:tcW w:w="1552" w:type="dxa"/>
            <w:tcBorders>
              <w:righ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9" w:hRule="atLeast"/>
          <w:jc w:val="center"/>
        </w:trPr>
        <w:tc>
          <w:tcPr>
            <w:tcW w:w="1687" w:type="dxa"/>
            <w:vMerge w:val="continue"/>
            <w:tcBorders>
              <w:top w:val="nil"/>
              <w:lef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p>
        </w:tc>
        <w:tc>
          <w:tcPr>
            <w:tcW w:w="495"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16</w:t>
            </w:r>
          </w:p>
        </w:tc>
        <w:tc>
          <w:tcPr>
            <w:tcW w:w="4770"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left"/>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接触职业病危害的劳动者在岗期间职业健康检查率</w:t>
            </w:r>
          </w:p>
        </w:tc>
        <w:tc>
          <w:tcPr>
            <w:tcW w:w="1552" w:type="dxa"/>
            <w:tcBorders>
              <w:righ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80" w:hRule="atLeast"/>
          <w:jc w:val="center"/>
        </w:trPr>
        <w:tc>
          <w:tcPr>
            <w:tcW w:w="1687" w:type="dxa"/>
            <w:vMerge w:val="restart"/>
            <w:tcBorders>
              <w:left w:val="single" w:color="000000" w:sz="10" w:space="0"/>
              <w:bottom w:val="nil"/>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伤害致残防控行动</w:t>
            </w:r>
          </w:p>
        </w:tc>
        <w:tc>
          <w:tcPr>
            <w:tcW w:w="495"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17</w:t>
            </w:r>
          </w:p>
        </w:tc>
        <w:tc>
          <w:tcPr>
            <w:tcW w:w="4770"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left"/>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生产安全事故发生起数</w:t>
            </w:r>
          </w:p>
        </w:tc>
        <w:tc>
          <w:tcPr>
            <w:tcW w:w="1552" w:type="dxa"/>
            <w:tcBorders>
              <w:righ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比2020 年 下降10%以上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8" w:hRule="atLeast"/>
          <w:jc w:val="center"/>
        </w:trPr>
        <w:tc>
          <w:tcPr>
            <w:tcW w:w="1687" w:type="dxa"/>
            <w:vMerge w:val="continue"/>
            <w:tcBorders>
              <w:top w:val="nil"/>
              <w:lef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p>
        </w:tc>
        <w:tc>
          <w:tcPr>
            <w:tcW w:w="495"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18</w:t>
            </w:r>
          </w:p>
        </w:tc>
        <w:tc>
          <w:tcPr>
            <w:tcW w:w="4770"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left"/>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声环境功能区夜间达标率</w:t>
            </w:r>
          </w:p>
        </w:tc>
        <w:tc>
          <w:tcPr>
            <w:tcW w:w="1552" w:type="dxa"/>
            <w:tcBorders>
              <w:righ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达到85%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1" w:hRule="atLeast"/>
          <w:jc w:val="center"/>
        </w:trPr>
        <w:tc>
          <w:tcPr>
            <w:tcW w:w="1687" w:type="dxa"/>
            <w:vMerge w:val="restart"/>
            <w:tcBorders>
              <w:left w:val="single" w:color="000000" w:sz="10" w:space="0"/>
              <w:bottom w:val="nil"/>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康复服务促进行动</w:t>
            </w:r>
          </w:p>
        </w:tc>
        <w:tc>
          <w:tcPr>
            <w:tcW w:w="495"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19</w:t>
            </w:r>
          </w:p>
        </w:tc>
        <w:tc>
          <w:tcPr>
            <w:tcW w:w="4770"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left"/>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每 10 万人口康复医师人数</w:t>
            </w:r>
          </w:p>
        </w:tc>
        <w:tc>
          <w:tcPr>
            <w:tcW w:w="1552" w:type="dxa"/>
            <w:tcBorders>
              <w:righ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达到8 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42" w:hRule="atLeast"/>
          <w:jc w:val="center"/>
        </w:trPr>
        <w:tc>
          <w:tcPr>
            <w:tcW w:w="1687" w:type="dxa"/>
            <w:vMerge w:val="continue"/>
            <w:tcBorders>
              <w:top w:val="nil"/>
              <w:left w:val="single" w:color="000000" w:sz="10" w:space="0"/>
              <w:bottom w:val="nil"/>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p>
        </w:tc>
        <w:tc>
          <w:tcPr>
            <w:tcW w:w="495"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20</w:t>
            </w:r>
          </w:p>
        </w:tc>
        <w:tc>
          <w:tcPr>
            <w:tcW w:w="4770"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left"/>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65 岁以上失能老年人健康服务率</w:t>
            </w:r>
          </w:p>
        </w:tc>
        <w:tc>
          <w:tcPr>
            <w:tcW w:w="1552" w:type="dxa"/>
            <w:tcBorders>
              <w:righ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6" w:hRule="atLeast"/>
          <w:jc w:val="center"/>
        </w:trPr>
        <w:tc>
          <w:tcPr>
            <w:tcW w:w="1687" w:type="dxa"/>
            <w:vMerge w:val="continue"/>
            <w:tcBorders>
              <w:top w:val="nil"/>
              <w:left w:val="single" w:color="000000" w:sz="10" w:space="0"/>
              <w:bottom w:val="nil"/>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p>
        </w:tc>
        <w:tc>
          <w:tcPr>
            <w:tcW w:w="495"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21</w:t>
            </w:r>
          </w:p>
        </w:tc>
        <w:tc>
          <w:tcPr>
            <w:tcW w:w="4770"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left"/>
              <w:rPr>
                <w:rFonts w:hint="eastAsia" w:ascii="仿宋_GB2312" w:hAnsi="仿宋_GB2312" w:eastAsia="仿宋_GB2312" w:cs="仿宋_GB2312"/>
                <w:color w:val="auto"/>
                <w:spacing w:val="0"/>
                <w:position w:val="0"/>
                <w:sz w:val="24"/>
                <w:szCs w:val="24"/>
                <w:lang w:val="en-US" w:eastAsia="zh-CN"/>
              </w:rPr>
            </w:pPr>
            <w:r>
              <w:rPr>
                <w:rFonts w:hint="eastAsia" w:ascii="仿宋_GB2312" w:hAnsi="仿宋_GB2312" w:eastAsia="仿宋_GB2312" w:cs="仿宋_GB2312"/>
                <w:color w:val="auto"/>
                <w:spacing w:val="0"/>
                <w:position w:val="0"/>
                <w:sz w:val="24"/>
                <w:szCs w:val="24"/>
              </w:rPr>
              <w:t>开展精神障碍社区康复服务</w:t>
            </w:r>
            <w:r>
              <w:rPr>
                <w:rFonts w:hint="eastAsia" w:ascii="仿宋_GB2312" w:hAnsi="仿宋_GB2312" w:eastAsia="仿宋_GB2312" w:cs="仿宋_GB2312"/>
                <w:color w:val="auto"/>
                <w:spacing w:val="0"/>
                <w:position w:val="0"/>
                <w:sz w:val="24"/>
                <w:szCs w:val="24"/>
                <w:lang w:val="en-US" w:eastAsia="zh-CN"/>
              </w:rPr>
              <w:t>的镇（街）</w:t>
            </w:r>
          </w:p>
        </w:tc>
        <w:tc>
          <w:tcPr>
            <w:tcW w:w="1552" w:type="dxa"/>
            <w:tcBorders>
              <w:righ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80" w:hRule="atLeast"/>
          <w:jc w:val="center"/>
        </w:trPr>
        <w:tc>
          <w:tcPr>
            <w:tcW w:w="1687" w:type="dxa"/>
            <w:vMerge w:val="continue"/>
            <w:tcBorders>
              <w:top w:val="nil"/>
              <w:left w:val="single" w:color="000000" w:sz="10" w:space="0"/>
              <w:bottom w:val="nil"/>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p>
        </w:tc>
        <w:tc>
          <w:tcPr>
            <w:tcW w:w="495"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22</w:t>
            </w:r>
          </w:p>
        </w:tc>
        <w:tc>
          <w:tcPr>
            <w:tcW w:w="4770"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left"/>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开展精神障碍社区康复服务的</w:t>
            </w:r>
            <w:r>
              <w:rPr>
                <w:rFonts w:hint="eastAsia" w:ascii="仿宋_GB2312" w:hAnsi="仿宋_GB2312" w:eastAsia="仿宋_GB2312" w:cs="仿宋_GB2312"/>
                <w:color w:val="auto"/>
                <w:spacing w:val="0"/>
                <w:position w:val="0"/>
                <w:sz w:val="24"/>
                <w:szCs w:val="24"/>
                <w:lang w:val="en-US" w:eastAsia="zh-CN"/>
              </w:rPr>
              <w:t>镇（街）的</w:t>
            </w:r>
            <w:r>
              <w:rPr>
                <w:rFonts w:hint="eastAsia" w:ascii="仿宋_GB2312" w:hAnsi="仿宋_GB2312" w:eastAsia="仿宋_GB2312" w:cs="仿宋_GB2312"/>
                <w:color w:val="auto"/>
                <w:spacing w:val="0"/>
                <w:position w:val="0"/>
                <w:sz w:val="24"/>
                <w:szCs w:val="24"/>
              </w:rPr>
              <w:t>居家患者接受社区康复服务比率</w:t>
            </w:r>
          </w:p>
        </w:tc>
        <w:tc>
          <w:tcPr>
            <w:tcW w:w="1552" w:type="dxa"/>
            <w:tcBorders>
              <w:righ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0" w:hRule="atLeast"/>
          <w:jc w:val="center"/>
        </w:trPr>
        <w:tc>
          <w:tcPr>
            <w:tcW w:w="1687" w:type="dxa"/>
            <w:vMerge w:val="continue"/>
            <w:tcBorders>
              <w:top w:val="nil"/>
              <w:left w:val="single" w:color="000000" w:sz="10" w:space="0"/>
              <w:bottom w:val="nil"/>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p>
        </w:tc>
        <w:tc>
          <w:tcPr>
            <w:tcW w:w="495"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23</w:t>
            </w:r>
          </w:p>
        </w:tc>
        <w:tc>
          <w:tcPr>
            <w:tcW w:w="4770"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left"/>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残疾人基本康复服务覆盖率</w:t>
            </w:r>
          </w:p>
        </w:tc>
        <w:tc>
          <w:tcPr>
            <w:tcW w:w="1552" w:type="dxa"/>
            <w:tcBorders>
              <w:righ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1" w:hRule="atLeast"/>
          <w:jc w:val="center"/>
        </w:trPr>
        <w:tc>
          <w:tcPr>
            <w:tcW w:w="1687" w:type="dxa"/>
            <w:vMerge w:val="continue"/>
            <w:tcBorders>
              <w:top w:val="nil"/>
              <w:left w:val="single" w:color="000000" w:sz="10" w:space="0"/>
              <w:bottom w:val="nil"/>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p>
        </w:tc>
        <w:tc>
          <w:tcPr>
            <w:tcW w:w="495"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24</w:t>
            </w:r>
          </w:p>
        </w:tc>
        <w:tc>
          <w:tcPr>
            <w:tcW w:w="4770"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left"/>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残疾人辅助器具适配率</w:t>
            </w:r>
          </w:p>
        </w:tc>
        <w:tc>
          <w:tcPr>
            <w:tcW w:w="1552" w:type="dxa"/>
            <w:tcBorders>
              <w:righ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9" w:hRule="atLeast"/>
          <w:jc w:val="center"/>
        </w:trPr>
        <w:tc>
          <w:tcPr>
            <w:tcW w:w="1687" w:type="dxa"/>
            <w:vMerge w:val="continue"/>
            <w:tcBorders>
              <w:top w:val="nil"/>
              <w:lef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p>
        </w:tc>
        <w:tc>
          <w:tcPr>
            <w:tcW w:w="495"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25</w:t>
            </w:r>
          </w:p>
        </w:tc>
        <w:tc>
          <w:tcPr>
            <w:tcW w:w="4770" w:type="dxa"/>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left"/>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公共建筑无障碍设施建设率</w:t>
            </w:r>
          </w:p>
        </w:tc>
        <w:tc>
          <w:tcPr>
            <w:tcW w:w="1552" w:type="dxa"/>
            <w:tcBorders>
              <w:right w:val="single" w:color="000000" w:sz="10" w:space="0"/>
            </w:tcBorders>
            <w:tcMar>
              <w:top w:w="0" w:type="dxa"/>
              <w:left w:w="108" w:type="dxa"/>
              <w:bottom w:w="0" w:type="dxa"/>
              <w:right w:w="108" w:type="dxa"/>
            </w:tcMar>
            <w:vAlign w:val="center"/>
          </w:tcPr>
          <w:p>
            <w:pPr>
              <w:keepNext w:val="0"/>
              <w:keepLines w:val="0"/>
              <w:pageBreakBefore w:val="0"/>
              <w:widowControl w:val="0"/>
              <w:kinsoku/>
              <w:wordWrap/>
              <w:overflowPunct w:val="0"/>
              <w:topLinePunct/>
              <w:autoSpaceDE/>
              <w:autoSpaceDN/>
              <w:bidi w:val="0"/>
              <w:spacing w:line="240" w:lineRule="auto"/>
              <w:ind w:left="0" w:right="0" w:firstLine="0" w:firstLineChars="0"/>
              <w:jc w:val="center"/>
              <w:rPr>
                <w:rFonts w:hint="eastAsia" w:ascii="仿宋_GB2312" w:hAnsi="仿宋_GB2312" w:eastAsia="仿宋_GB2312" w:cs="仿宋_GB2312"/>
                <w:color w:val="auto"/>
                <w:spacing w:val="0"/>
                <w:position w:val="0"/>
                <w:sz w:val="24"/>
                <w:szCs w:val="24"/>
              </w:rPr>
            </w:pPr>
            <w:r>
              <w:rPr>
                <w:rFonts w:hint="eastAsia" w:ascii="仿宋_GB2312" w:hAnsi="仿宋_GB2312" w:eastAsia="仿宋_GB2312" w:cs="仿宋_GB2312"/>
                <w:color w:val="auto"/>
                <w:spacing w:val="0"/>
                <w:position w:val="0"/>
                <w:sz w:val="24"/>
                <w:szCs w:val="24"/>
              </w:rPr>
              <w:t>100%</w:t>
            </w:r>
          </w:p>
        </w:tc>
      </w:tr>
    </w:tbl>
    <w:p>
      <w:pPr>
        <w:keepNext w:val="0"/>
        <w:keepLines w:val="0"/>
        <w:pageBreakBefore w:val="0"/>
        <w:widowControl w:val="0"/>
        <w:kinsoku/>
        <w:wordWrap/>
        <w:overflowPunct w:val="0"/>
        <w:topLinePunct/>
        <w:autoSpaceDE/>
        <w:autoSpaceDN/>
        <w:bidi w:val="0"/>
        <w:spacing w:line="580" w:lineRule="exact"/>
        <w:ind w:left="0" w:right="0" w:firstLine="624" w:firstLineChars="200"/>
        <w:jc w:val="both"/>
        <w:rPr>
          <w:rFonts w:ascii="黑体" w:hAnsi="黑体" w:eastAsia="黑体" w:cs="黑体"/>
          <w:color w:val="auto"/>
          <w:sz w:val="32"/>
          <w:szCs w:val="32"/>
        </w:rPr>
      </w:pPr>
      <w:r>
        <w:rPr>
          <w:rFonts w:ascii="黑体" w:hAnsi="黑体" w:eastAsia="黑体" w:cs="黑体"/>
          <w:color w:val="auto"/>
          <w:spacing w:val="-4"/>
          <w:position w:val="2"/>
          <w:sz w:val="32"/>
          <w:szCs w:val="32"/>
        </w:rPr>
        <w:t>二</w:t>
      </w:r>
      <w:r>
        <w:rPr>
          <w:rFonts w:ascii="黑体" w:hAnsi="黑体" w:eastAsia="黑体" w:cs="黑体"/>
          <w:color w:val="auto"/>
          <w:spacing w:val="-3"/>
          <w:position w:val="2"/>
          <w:sz w:val="32"/>
          <w:szCs w:val="32"/>
        </w:rPr>
        <w:t>、主要行动</w:t>
      </w:r>
    </w:p>
    <w:p>
      <w:pPr>
        <w:keepNext w:val="0"/>
        <w:keepLines w:val="0"/>
        <w:pageBreakBefore w:val="0"/>
        <w:widowControl w:val="0"/>
        <w:kinsoku/>
        <w:wordWrap/>
        <w:overflowPunct w:val="0"/>
        <w:topLinePunct/>
        <w:autoSpaceDE/>
        <w:autoSpaceDN/>
        <w:bidi w:val="0"/>
        <w:adjustRightInd/>
        <w:snapToGrid/>
        <w:spacing w:line="580" w:lineRule="exact"/>
        <w:ind w:right="0" w:firstLine="628" w:firstLineChars="200"/>
        <w:jc w:val="both"/>
        <w:textAlignment w:val="auto"/>
        <w:rPr>
          <w:rFonts w:hint="eastAsia" w:ascii="楷体_GB2312" w:hAnsi="楷体_GB2312" w:eastAsia="楷体_GB2312" w:cs="楷体_GB2312"/>
          <w:color w:val="auto"/>
          <w:spacing w:val="-3"/>
          <w:sz w:val="32"/>
          <w:szCs w:val="32"/>
        </w:rPr>
      </w:pPr>
      <w:r>
        <w:rPr>
          <w:rFonts w:hint="eastAsia" w:ascii="楷体_GB2312" w:hAnsi="楷体_GB2312" w:eastAsia="楷体_GB2312" w:cs="楷体_GB2312"/>
          <w:color w:val="auto"/>
          <w:spacing w:val="-3"/>
          <w:sz w:val="32"/>
          <w:szCs w:val="32"/>
          <w:lang w:eastAsia="zh-CN"/>
        </w:rPr>
        <w:t>（</w:t>
      </w:r>
      <w:r>
        <w:rPr>
          <w:rFonts w:hint="eastAsia" w:ascii="楷体_GB2312" w:hAnsi="楷体_GB2312" w:eastAsia="楷体_GB2312" w:cs="楷体_GB2312"/>
          <w:color w:val="auto"/>
          <w:spacing w:val="-3"/>
          <w:sz w:val="32"/>
          <w:szCs w:val="32"/>
        </w:rPr>
        <w:t>一</w:t>
      </w:r>
      <w:r>
        <w:rPr>
          <w:rFonts w:hint="eastAsia" w:ascii="楷体_GB2312" w:hAnsi="楷体_GB2312" w:eastAsia="楷体_GB2312" w:cs="楷体_GB2312"/>
          <w:color w:val="auto"/>
          <w:spacing w:val="-3"/>
          <w:sz w:val="32"/>
          <w:szCs w:val="32"/>
          <w:lang w:eastAsia="zh-CN"/>
        </w:rPr>
        <w:t>）</w:t>
      </w:r>
      <w:r>
        <w:rPr>
          <w:rFonts w:hint="eastAsia" w:ascii="楷体_GB2312" w:hAnsi="楷体_GB2312" w:eastAsia="楷体_GB2312" w:cs="楷体_GB2312"/>
          <w:color w:val="auto"/>
          <w:spacing w:val="-3"/>
          <w:sz w:val="32"/>
          <w:szCs w:val="32"/>
        </w:rPr>
        <w:t>残疾预防知识普及行动</w:t>
      </w:r>
    </w:p>
    <w:p>
      <w:pPr>
        <w:keepNext w:val="0"/>
        <w:keepLines w:val="0"/>
        <w:pageBreakBefore w:val="0"/>
        <w:widowControl w:val="0"/>
        <w:kinsoku/>
        <w:wordWrap/>
        <w:overflowPunct w:val="0"/>
        <w:topLinePunct/>
        <w:autoSpaceDE/>
        <w:autoSpaceDN/>
        <w:bidi w:val="0"/>
        <w:adjustRightInd/>
        <w:snapToGrid/>
        <w:spacing w:line="580" w:lineRule="exact"/>
        <w:ind w:right="0" w:firstLine="640" w:firstLineChars="200"/>
        <w:jc w:val="both"/>
        <w:textAlignment w:val="auto"/>
        <w:rPr>
          <w:rFonts w:hint="eastAsia" w:ascii="楷体_GB2312" w:hAnsi="楷体_GB2312" w:eastAsia="楷体_GB2312" w:cs="楷体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1．加强残疾预防专业队伍建设和培训。建立残疾预防专家咨询委员会，为残疾预防工作开展提供技术支持。推动将残疾预防和出生缺陷防治核心知识纳入医务工作者、社会工作者、残疾人工作者等人员职业教育培训内容，形成残疾预防知识科普骨干队伍，确保残疾预防知识规范、有效传播。指导全市残疾儿童康复救助定点机构在“家长学校”互动教学中普及推广残疾预防和出生缺陷防治核心知识。</w:t>
      </w:r>
      <w:r>
        <w:rPr>
          <w:rFonts w:hint="eastAsia" w:ascii="楷体_GB2312" w:hAnsi="楷体_GB2312" w:eastAsia="楷体_GB2312" w:cs="楷体_GB2312"/>
          <w:color w:val="auto"/>
          <w:spacing w:val="-3"/>
          <w:sz w:val="32"/>
          <w:szCs w:val="32"/>
          <w:lang w:eastAsia="zh-CN"/>
        </w:rPr>
        <w:t>（</w:t>
      </w:r>
      <w:r>
        <w:rPr>
          <w:rFonts w:hint="eastAsia" w:ascii="楷体_GB2312" w:hAnsi="楷体_GB2312" w:eastAsia="楷体_GB2312" w:cs="楷体_GB2312"/>
          <w:color w:val="auto"/>
          <w:spacing w:val="-3"/>
          <w:sz w:val="32"/>
          <w:szCs w:val="32"/>
        </w:rPr>
        <w:t>市残联、市卫健</w:t>
      </w:r>
      <w:r>
        <w:rPr>
          <w:rFonts w:hint="eastAsia" w:ascii="楷体_GB2312" w:hAnsi="楷体_GB2312" w:eastAsia="楷体_GB2312" w:cs="楷体_GB2312"/>
          <w:color w:val="auto"/>
          <w:spacing w:val="-3"/>
          <w:sz w:val="32"/>
          <w:szCs w:val="32"/>
          <w:lang w:val="en-US" w:eastAsia="zh-CN"/>
        </w:rPr>
        <w:t>局</w:t>
      </w:r>
      <w:r>
        <w:rPr>
          <w:rFonts w:hint="eastAsia" w:ascii="楷体_GB2312" w:hAnsi="楷体_GB2312" w:eastAsia="楷体_GB2312" w:cs="楷体_GB2312"/>
          <w:color w:val="auto"/>
          <w:spacing w:val="-3"/>
          <w:sz w:val="32"/>
          <w:szCs w:val="32"/>
        </w:rPr>
        <w:t>牵头，</w:t>
      </w:r>
      <w:r>
        <w:rPr>
          <w:rFonts w:hint="eastAsia" w:ascii="楷体_GB2312" w:hAnsi="楷体_GB2312" w:eastAsia="楷体_GB2312" w:cs="楷体_GB2312"/>
          <w:color w:val="auto"/>
          <w:spacing w:val="-3"/>
          <w:sz w:val="32"/>
          <w:szCs w:val="32"/>
          <w:lang w:eastAsia="zh-CN"/>
        </w:rPr>
        <w:t>市教体局</w:t>
      </w:r>
      <w:r>
        <w:rPr>
          <w:rFonts w:hint="eastAsia" w:ascii="楷体_GB2312" w:hAnsi="楷体_GB2312" w:eastAsia="楷体_GB2312" w:cs="楷体_GB2312"/>
          <w:color w:val="auto"/>
          <w:spacing w:val="-3"/>
          <w:sz w:val="32"/>
          <w:szCs w:val="32"/>
        </w:rPr>
        <w:t>、市民</w:t>
      </w:r>
      <w:r>
        <w:rPr>
          <w:rFonts w:hint="eastAsia" w:ascii="楷体_GB2312" w:hAnsi="楷体_GB2312" w:eastAsia="楷体_GB2312" w:cs="楷体_GB2312"/>
          <w:color w:val="auto"/>
          <w:spacing w:val="-1"/>
          <w:sz w:val="32"/>
          <w:szCs w:val="32"/>
        </w:rPr>
        <w:t>政</w:t>
      </w:r>
      <w:r>
        <w:rPr>
          <w:rFonts w:hint="eastAsia" w:ascii="楷体_GB2312" w:hAnsi="楷体_GB2312" w:eastAsia="楷体_GB2312" w:cs="楷体_GB2312"/>
          <w:color w:val="auto"/>
          <w:spacing w:val="4"/>
          <w:sz w:val="32"/>
          <w:szCs w:val="32"/>
        </w:rPr>
        <w:t>局、</w:t>
      </w:r>
      <w:r>
        <w:rPr>
          <w:rFonts w:hint="eastAsia" w:ascii="楷体_GB2312" w:hAnsi="楷体_GB2312" w:eastAsia="楷体_GB2312" w:cs="楷体_GB2312"/>
          <w:color w:val="auto"/>
          <w:spacing w:val="4"/>
          <w:sz w:val="32"/>
          <w:szCs w:val="32"/>
          <w:lang w:eastAsia="zh-CN"/>
        </w:rPr>
        <w:t>枣庄市生态环境局滕州分局</w:t>
      </w:r>
      <w:r>
        <w:rPr>
          <w:rFonts w:hint="eastAsia" w:ascii="楷体_GB2312" w:hAnsi="楷体_GB2312" w:eastAsia="楷体_GB2312" w:cs="楷体_GB2312"/>
          <w:color w:val="auto"/>
          <w:spacing w:val="2"/>
          <w:sz w:val="32"/>
          <w:szCs w:val="32"/>
        </w:rPr>
        <w:t>、</w:t>
      </w:r>
      <w:r>
        <w:rPr>
          <w:rFonts w:hint="eastAsia" w:ascii="楷体_GB2312" w:hAnsi="楷体_GB2312" w:eastAsia="楷体_GB2312" w:cs="楷体_GB2312"/>
          <w:color w:val="auto"/>
          <w:spacing w:val="2"/>
          <w:sz w:val="32"/>
          <w:szCs w:val="32"/>
          <w:lang w:eastAsia="zh-CN"/>
        </w:rPr>
        <w:t>市住</w:t>
      </w:r>
      <w:r>
        <w:rPr>
          <w:rFonts w:hint="eastAsia" w:ascii="楷体_GB2312" w:hAnsi="楷体_GB2312" w:eastAsia="楷体_GB2312" w:cs="楷体_GB2312"/>
          <w:color w:val="auto"/>
          <w:spacing w:val="-3"/>
          <w:sz w:val="32"/>
          <w:szCs w:val="32"/>
          <w:lang w:val="en-US" w:eastAsia="zh-CN"/>
        </w:rPr>
        <w:t>建局、市交通运输局、市应急局按职责分工负责）</w:t>
      </w:r>
    </w:p>
    <w:p>
      <w:pPr>
        <w:keepNext w:val="0"/>
        <w:keepLines w:val="0"/>
        <w:pageBreakBefore w:val="0"/>
        <w:widowControl w:val="0"/>
        <w:kinsoku/>
        <w:wordWrap/>
        <w:overflowPunct w:val="0"/>
        <w:topLinePunct/>
        <w:autoSpaceDE/>
        <w:autoSpaceDN/>
        <w:bidi w:val="0"/>
        <w:adjustRightInd/>
        <w:snapToGrid/>
        <w:spacing w:line="580" w:lineRule="exact"/>
        <w:ind w:right="0" w:firstLine="640" w:firstLineChars="200"/>
        <w:jc w:val="both"/>
        <w:textAlignment w:val="auto"/>
        <w:rPr>
          <w:rFonts w:hint="eastAsia" w:ascii="楷体_GB2312" w:hAnsi="楷体_GB2312" w:eastAsia="楷体_GB2312" w:cs="楷体_GB2312"/>
          <w:color w:val="auto"/>
          <w:spacing w:val="-3"/>
          <w:sz w:val="32"/>
          <w:szCs w:val="32"/>
          <w:lang w:val="en-US" w:eastAsia="zh-CN"/>
        </w:rPr>
      </w:pPr>
      <w:r>
        <w:rPr>
          <w:rFonts w:hint="eastAsia" w:ascii="仿宋_GB2312" w:hAnsi="仿宋_GB2312" w:eastAsia="仿宋_GB2312" w:cs="仿宋_GB2312"/>
          <w:snapToGrid/>
          <w:color w:val="auto"/>
          <w:kern w:val="2"/>
          <w:sz w:val="32"/>
          <w:szCs w:val="32"/>
          <w:lang w:val="en-US" w:eastAsia="zh-CN" w:bidi="ar-SA"/>
        </w:rPr>
        <w:t>2．加强重点人群残疾预防知识普及。加强健康教育和社会健康管理。面向少年儿童、新婚夫妇、孕产妇、婴幼儿家长、老年人、高危职业从业者等重点人群开展针对性宣传教育，普及残疾预防核心知识和遗传及发育、疾病、伤害等致残防控科学方法;面向伤病者、残疾人，在医院、残疾人服务机构等场所，加强康复知识宣传普及，着力提升康复意识和能力。</w:t>
      </w:r>
      <w:r>
        <w:rPr>
          <w:rFonts w:hint="eastAsia" w:ascii="楷体_GB2312" w:hAnsi="楷体_GB2312" w:eastAsia="楷体_GB2312" w:cs="楷体_GB2312"/>
          <w:color w:val="auto"/>
          <w:spacing w:val="-3"/>
          <w:sz w:val="32"/>
          <w:szCs w:val="32"/>
          <w:lang w:eastAsia="zh-CN"/>
        </w:rPr>
        <w:t>（</w:t>
      </w:r>
      <w:r>
        <w:rPr>
          <w:rFonts w:hint="eastAsia" w:ascii="楷体_GB2312" w:hAnsi="楷体_GB2312" w:eastAsia="楷体_GB2312" w:cs="楷体_GB2312"/>
          <w:color w:val="auto"/>
          <w:spacing w:val="-3"/>
          <w:sz w:val="32"/>
          <w:szCs w:val="32"/>
        </w:rPr>
        <w:t>市残联、市卫健</w:t>
      </w:r>
      <w:r>
        <w:rPr>
          <w:rFonts w:hint="eastAsia" w:ascii="楷体_GB2312" w:hAnsi="楷体_GB2312" w:eastAsia="楷体_GB2312" w:cs="楷体_GB2312"/>
          <w:color w:val="auto"/>
          <w:spacing w:val="-3"/>
          <w:sz w:val="32"/>
          <w:szCs w:val="32"/>
          <w:lang w:val="en-US" w:eastAsia="zh-CN"/>
        </w:rPr>
        <w:t>局</w:t>
      </w:r>
      <w:r>
        <w:rPr>
          <w:rFonts w:hint="eastAsia" w:ascii="楷体_GB2312" w:hAnsi="楷体_GB2312" w:eastAsia="楷体_GB2312" w:cs="楷体_GB2312"/>
          <w:color w:val="auto"/>
          <w:spacing w:val="-3"/>
          <w:sz w:val="32"/>
          <w:szCs w:val="32"/>
        </w:rPr>
        <w:t>牵头，</w:t>
      </w:r>
      <w:r>
        <w:rPr>
          <w:rFonts w:hint="eastAsia" w:ascii="楷体_GB2312" w:hAnsi="楷体_GB2312" w:eastAsia="楷体_GB2312" w:cs="楷体_GB2312"/>
          <w:color w:val="auto"/>
          <w:spacing w:val="-3"/>
          <w:sz w:val="32"/>
          <w:szCs w:val="32"/>
          <w:lang w:eastAsia="zh-CN"/>
        </w:rPr>
        <w:t>市教体局</w:t>
      </w:r>
      <w:r>
        <w:rPr>
          <w:rFonts w:hint="eastAsia" w:ascii="楷体_GB2312" w:hAnsi="楷体_GB2312" w:eastAsia="楷体_GB2312" w:cs="楷体_GB2312"/>
          <w:color w:val="auto"/>
          <w:spacing w:val="-3"/>
          <w:sz w:val="32"/>
          <w:szCs w:val="32"/>
        </w:rPr>
        <w:t>、市民政局、市司法局、</w:t>
      </w:r>
      <w:r>
        <w:rPr>
          <w:rFonts w:hint="eastAsia" w:ascii="楷体_GB2312" w:hAnsi="楷体_GB2312" w:eastAsia="楷体_GB2312" w:cs="楷体_GB2312"/>
          <w:color w:val="auto"/>
          <w:spacing w:val="-3"/>
          <w:sz w:val="32"/>
          <w:szCs w:val="32"/>
          <w:lang w:eastAsia="zh-CN"/>
        </w:rPr>
        <w:t>枣庄市生态环境局滕州分局</w:t>
      </w:r>
      <w:r>
        <w:rPr>
          <w:rFonts w:hint="eastAsia" w:ascii="楷体_GB2312" w:hAnsi="楷体_GB2312" w:eastAsia="楷体_GB2312" w:cs="楷体_GB2312"/>
          <w:color w:val="auto"/>
          <w:spacing w:val="-3"/>
          <w:sz w:val="32"/>
          <w:szCs w:val="32"/>
        </w:rPr>
        <w:t>、</w:t>
      </w:r>
      <w:r>
        <w:rPr>
          <w:rFonts w:hint="eastAsia" w:ascii="楷体_GB2312" w:hAnsi="楷体_GB2312" w:eastAsia="楷体_GB2312" w:cs="楷体_GB2312"/>
          <w:color w:val="auto"/>
          <w:spacing w:val="-3"/>
          <w:sz w:val="32"/>
          <w:szCs w:val="32"/>
          <w:lang w:eastAsia="zh-CN"/>
        </w:rPr>
        <w:t>市交通运输局</w:t>
      </w:r>
      <w:r>
        <w:rPr>
          <w:rFonts w:hint="eastAsia" w:ascii="楷体_GB2312" w:hAnsi="楷体_GB2312" w:eastAsia="楷体_GB2312" w:cs="楷体_GB2312"/>
          <w:color w:val="auto"/>
          <w:spacing w:val="-3"/>
          <w:sz w:val="32"/>
          <w:szCs w:val="32"/>
        </w:rPr>
        <w:t>、市应急局、市总工会、</w:t>
      </w:r>
      <w:r>
        <w:rPr>
          <w:rFonts w:hint="eastAsia" w:ascii="楷体_GB2312" w:hAnsi="楷体_GB2312" w:eastAsia="楷体_GB2312" w:cs="楷体_GB2312"/>
          <w:color w:val="auto"/>
          <w:spacing w:val="-3"/>
          <w:sz w:val="32"/>
          <w:szCs w:val="32"/>
          <w:lang w:val="en-US" w:eastAsia="zh-CN"/>
        </w:rPr>
        <w:t>团市委、市妇联按职责分工负责）</w:t>
      </w:r>
    </w:p>
    <w:p>
      <w:pPr>
        <w:keepNext w:val="0"/>
        <w:keepLines w:val="0"/>
        <w:pageBreakBefore w:val="0"/>
        <w:widowControl w:val="0"/>
        <w:kinsoku/>
        <w:wordWrap/>
        <w:overflowPunct w:val="0"/>
        <w:topLinePunct/>
        <w:autoSpaceDE/>
        <w:autoSpaceDN/>
        <w:bidi w:val="0"/>
        <w:adjustRightInd/>
        <w:snapToGrid/>
        <w:spacing w:line="580" w:lineRule="exact"/>
        <w:ind w:right="0" w:firstLine="640" w:firstLineChars="200"/>
        <w:jc w:val="both"/>
        <w:textAlignment w:val="auto"/>
        <w:rPr>
          <w:rFonts w:hint="eastAsia" w:ascii="楷体_GB2312" w:hAnsi="楷体_GB2312" w:eastAsia="楷体_GB2312" w:cs="楷体_GB2312"/>
          <w:color w:val="auto"/>
          <w:spacing w:val="-3"/>
          <w:sz w:val="32"/>
          <w:szCs w:val="32"/>
          <w:lang w:eastAsia="zh-CN"/>
        </w:rPr>
      </w:pPr>
      <w:r>
        <w:rPr>
          <w:rFonts w:hint="eastAsia" w:ascii="仿宋_GB2312" w:hAnsi="仿宋_GB2312" w:eastAsia="仿宋_GB2312" w:cs="仿宋_GB2312"/>
          <w:snapToGrid/>
          <w:color w:val="auto"/>
          <w:kern w:val="2"/>
          <w:sz w:val="32"/>
          <w:szCs w:val="32"/>
          <w:lang w:val="en-US" w:eastAsia="zh-CN" w:bidi="ar-SA"/>
        </w:rPr>
        <w:t>3．开展重点宣传教育活动。持续开展残疾预防宣传教育活动，鼓励医院、学校、厂矿企业、新闻媒体等创作播出残疾预防主题宣传片、公益广告。利用世界防治麻风病日、爱耳日、爱眼日、世界噪音日、防治碘缺乏病日、防灾减灾日、全国助残日、残疾预防日、预防出生缺陷日、精神卫生日、全国消防日、全国交通安全日等宣传节点，充分运用“报、网、端、微、屏”等媒体平台，加强残疾预防核心知识的专题宣传，提升各类宣传教育活动的影响力和实效性。</w:t>
      </w:r>
      <w:r>
        <w:rPr>
          <w:rFonts w:hint="eastAsia" w:ascii="楷体_GB2312" w:hAnsi="楷体_GB2312" w:eastAsia="楷体_GB2312" w:cs="楷体_GB2312"/>
          <w:color w:val="auto"/>
          <w:spacing w:val="-3"/>
          <w:sz w:val="32"/>
          <w:szCs w:val="32"/>
          <w:lang w:eastAsia="zh-CN"/>
        </w:rPr>
        <w:t>（</w:t>
      </w:r>
      <w:r>
        <w:rPr>
          <w:rFonts w:hint="eastAsia" w:ascii="楷体_GB2312" w:hAnsi="楷体_GB2312" w:eastAsia="楷体_GB2312" w:cs="楷体_GB2312"/>
          <w:color w:val="auto"/>
          <w:spacing w:val="-3"/>
          <w:sz w:val="32"/>
          <w:szCs w:val="32"/>
        </w:rPr>
        <w:t>市残联、</w:t>
      </w:r>
      <w:r>
        <w:rPr>
          <w:rFonts w:hint="eastAsia" w:ascii="楷体_GB2312" w:hAnsi="楷体_GB2312" w:eastAsia="楷体_GB2312" w:cs="楷体_GB2312"/>
          <w:color w:val="auto"/>
          <w:spacing w:val="-3"/>
          <w:sz w:val="32"/>
          <w:szCs w:val="32"/>
          <w:lang w:eastAsia="zh-CN"/>
        </w:rPr>
        <w:t>市卫健局</w:t>
      </w:r>
      <w:r>
        <w:rPr>
          <w:rFonts w:hint="eastAsia" w:ascii="楷体_GB2312" w:hAnsi="楷体_GB2312" w:eastAsia="楷体_GB2312" w:cs="楷体_GB2312"/>
          <w:color w:val="auto"/>
          <w:spacing w:val="-3"/>
          <w:sz w:val="32"/>
          <w:szCs w:val="32"/>
        </w:rPr>
        <w:t>、市委宣传部牵头，市教</w:t>
      </w:r>
      <w:r>
        <w:rPr>
          <w:rFonts w:hint="eastAsia" w:ascii="楷体_GB2312" w:hAnsi="楷体_GB2312" w:eastAsia="楷体_GB2312" w:cs="楷体_GB2312"/>
          <w:color w:val="auto"/>
          <w:spacing w:val="-3"/>
          <w:sz w:val="32"/>
          <w:szCs w:val="32"/>
          <w:lang w:val="en-US" w:eastAsia="zh-CN"/>
        </w:rPr>
        <w:t>体</w:t>
      </w:r>
      <w:r>
        <w:rPr>
          <w:rFonts w:hint="eastAsia" w:ascii="楷体_GB2312" w:hAnsi="楷体_GB2312" w:eastAsia="楷体_GB2312" w:cs="楷体_GB2312"/>
          <w:color w:val="auto"/>
          <w:spacing w:val="-3"/>
          <w:sz w:val="32"/>
          <w:szCs w:val="32"/>
        </w:rPr>
        <w:t>局、市公安局、市民政局、市司法局、</w:t>
      </w:r>
      <w:r>
        <w:rPr>
          <w:rFonts w:hint="eastAsia" w:ascii="楷体_GB2312" w:hAnsi="楷体_GB2312" w:eastAsia="楷体_GB2312" w:cs="楷体_GB2312"/>
          <w:color w:val="auto"/>
          <w:spacing w:val="-3"/>
          <w:sz w:val="32"/>
          <w:szCs w:val="32"/>
          <w:lang w:eastAsia="zh-CN"/>
        </w:rPr>
        <w:t>市人社局</w:t>
      </w:r>
      <w:r>
        <w:rPr>
          <w:rFonts w:hint="eastAsia" w:ascii="楷体_GB2312" w:hAnsi="楷体_GB2312" w:eastAsia="楷体_GB2312" w:cs="楷体_GB2312"/>
          <w:color w:val="auto"/>
          <w:spacing w:val="-3"/>
          <w:sz w:val="32"/>
          <w:szCs w:val="32"/>
        </w:rPr>
        <w:t>、</w:t>
      </w:r>
      <w:r>
        <w:rPr>
          <w:rFonts w:hint="eastAsia" w:ascii="楷体_GB2312" w:hAnsi="楷体_GB2312" w:eastAsia="楷体_GB2312" w:cs="楷体_GB2312"/>
          <w:color w:val="auto"/>
          <w:spacing w:val="-3"/>
          <w:sz w:val="32"/>
          <w:szCs w:val="32"/>
          <w:lang w:eastAsia="zh-CN"/>
        </w:rPr>
        <w:t>枣庄市生态环境局滕州分局</w:t>
      </w:r>
      <w:r>
        <w:rPr>
          <w:rFonts w:hint="eastAsia" w:ascii="楷体_GB2312" w:hAnsi="楷体_GB2312" w:eastAsia="楷体_GB2312" w:cs="楷体_GB2312"/>
          <w:color w:val="auto"/>
          <w:spacing w:val="-3"/>
          <w:sz w:val="32"/>
          <w:szCs w:val="32"/>
        </w:rPr>
        <w:t>、</w:t>
      </w:r>
      <w:r>
        <w:rPr>
          <w:rFonts w:hint="eastAsia" w:ascii="楷体_GB2312" w:hAnsi="楷体_GB2312" w:eastAsia="楷体_GB2312" w:cs="楷体_GB2312"/>
          <w:color w:val="auto"/>
          <w:spacing w:val="-3"/>
          <w:sz w:val="32"/>
          <w:szCs w:val="32"/>
          <w:lang w:eastAsia="zh-CN"/>
        </w:rPr>
        <w:t>市交通运输局</w:t>
      </w:r>
      <w:r>
        <w:rPr>
          <w:rFonts w:hint="eastAsia" w:ascii="楷体_GB2312" w:hAnsi="楷体_GB2312" w:eastAsia="楷体_GB2312" w:cs="楷体_GB2312"/>
          <w:color w:val="auto"/>
          <w:spacing w:val="-3"/>
          <w:sz w:val="32"/>
          <w:szCs w:val="32"/>
        </w:rPr>
        <w:t>、市应急局、市文旅局、市总工会、团市委、市妇联按职责分工负责</w:t>
      </w:r>
      <w:r>
        <w:rPr>
          <w:rFonts w:hint="eastAsia" w:ascii="楷体_GB2312" w:hAnsi="楷体_GB2312" w:eastAsia="楷体_GB2312" w:cs="楷体_GB2312"/>
          <w:color w:val="auto"/>
          <w:spacing w:val="-3"/>
          <w:sz w:val="32"/>
          <w:szCs w:val="32"/>
          <w:lang w:eastAsia="zh-CN"/>
        </w:rPr>
        <w:t>）</w:t>
      </w:r>
    </w:p>
    <w:p>
      <w:pPr>
        <w:keepNext w:val="0"/>
        <w:keepLines w:val="0"/>
        <w:pageBreakBefore w:val="0"/>
        <w:widowControl w:val="0"/>
        <w:kinsoku/>
        <w:wordWrap/>
        <w:overflowPunct w:val="0"/>
        <w:topLinePunct/>
        <w:autoSpaceDE/>
        <w:autoSpaceDN/>
        <w:bidi w:val="0"/>
        <w:adjustRightInd/>
        <w:snapToGrid/>
        <w:spacing w:line="580" w:lineRule="exact"/>
        <w:ind w:right="0" w:firstLine="640" w:firstLineChars="200"/>
        <w:jc w:val="both"/>
        <w:textAlignment w:val="auto"/>
        <w:rPr>
          <w:rFonts w:hint="eastAsia" w:ascii="楷体_GB2312" w:hAnsi="楷体_GB2312" w:eastAsia="楷体_GB2312" w:cs="楷体_GB2312"/>
          <w:color w:val="auto"/>
          <w:spacing w:val="-3"/>
          <w:sz w:val="32"/>
          <w:szCs w:val="32"/>
          <w:lang w:eastAsia="zh-CN"/>
        </w:rPr>
      </w:pPr>
      <w:r>
        <w:rPr>
          <w:rFonts w:hint="eastAsia" w:ascii="仿宋_GB2312" w:hAnsi="仿宋_GB2312" w:eastAsia="仿宋_GB2312" w:cs="仿宋_GB2312"/>
          <w:snapToGrid/>
          <w:color w:val="auto"/>
          <w:kern w:val="2"/>
          <w:sz w:val="32"/>
          <w:szCs w:val="32"/>
          <w:lang w:val="en-US" w:eastAsia="zh-CN" w:bidi="ar-SA"/>
        </w:rPr>
        <w:t>4．提升公众残疾预防技能。进一步完善健康科普知识发布和传播机制，指导公众合理膳食、科学健身，规范就医用药、及时康复干预，识别高压、易燃、易爆、剧毒、放射性和生物安全等常见危险标识，掌握基本逃生技能和急救能力，增强全民自我防护意识和残疾防控能力。</w:t>
      </w:r>
      <w:r>
        <w:rPr>
          <w:rFonts w:hint="eastAsia" w:ascii="楷体_GB2312" w:hAnsi="楷体_GB2312" w:eastAsia="楷体_GB2312" w:cs="楷体_GB2312"/>
          <w:color w:val="auto"/>
          <w:spacing w:val="-3"/>
          <w:sz w:val="32"/>
          <w:szCs w:val="32"/>
          <w:lang w:eastAsia="zh-CN"/>
        </w:rPr>
        <w:t>（市残联、市卫健局牵头，市委宣传部、市公安局、枣庄市生态环境局滕州分局、市交通运输局、市应急局、市文旅局、市</w:t>
      </w:r>
      <w:r>
        <w:rPr>
          <w:rFonts w:hint="eastAsia" w:ascii="楷体_GB2312" w:hAnsi="楷体_GB2312" w:eastAsia="楷体_GB2312" w:cs="楷体_GB2312"/>
          <w:color w:val="auto"/>
          <w:spacing w:val="-3"/>
          <w:sz w:val="32"/>
          <w:szCs w:val="32"/>
          <w:lang w:val="en-US" w:eastAsia="zh-CN"/>
        </w:rPr>
        <w:t>体育事业发展中心</w:t>
      </w:r>
      <w:r>
        <w:rPr>
          <w:rFonts w:hint="eastAsia" w:ascii="楷体_GB2312" w:hAnsi="楷体_GB2312" w:eastAsia="楷体_GB2312" w:cs="楷体_GB2312"/>
          <w:color w:val="auto"/>
          <w:spacing w:val="-3"/>
          <w:sz w:val="32"/>
          <w:szCs w:val="32"/>
          <w:lang w:eastAsia="zh-CN"/>
        </w:rPr>
        <w:t>按职责分工负责）</w:t>
      </w:r>
    </w:p>
    <w:p>
      <w:pPr>
        <w:keepNext w:val="0"/>
        <w:keepLines w:val="0"/>
        <w:pageBreakBefore w:val="0"/>
        <w:widowControl w:val="0"/>
        <w:kinsoku/>
        <w:wordWrap/>
        <w:overflowPunct w:val="0"/>
        <w:topLinePunct/>
        <w:autoSpaceDE/>
        <w:autoSpaceDN/>
        <w:bidi w:val="0"/>
        <w:adjustRightInd/>
        <w:snapToGrid/>
        <w:spacing w:line="580" w:lineRule="exact"/>
        <w:ind w:right="0" w:firstLine="628" w:firstLineChars="200"/>
        <w:jc w:val="both"/>
        <w:textAlignment w:val="auto"/>
        <w:rPr>
          <w:rFonts w:hint="eastAsia" w:ascii="楷体_GB2312" w:hAnsi="楷体_GB2312" w:eastAsia="楷体_GB2312" w:cs="楷体_GB2312"/>
          <w:color w:val="auto"/>
          <w:spacing w:val="-3"/>
          <w:sz w:val="32"/>
          <w:szCs w:val="32"/>
          <w:lang w:eastAsia="zh-CN"/>
        </w:rPr>
      </w:pPr>
      <w:r>
        <w:rPr>
          <w:rFonts w:hint="eastAsia" w:ascii="楷体_GB2312" w:hAnsi="楷体_GB2312" w:eastAsia="楷体_GB2312" w:cs="楷体_GB2312"/>
          <w:color w:val="auto"/>
          <w:spacing w:val="-3"/>
          <w:sz w:val="32"/>
          <w:szCs w:val="32"/>
          <w:lang w:eastAsia="zh-CN"/>
        </w:rPr>
        <w:t>（二） 出生缺陷和发育障碍致残防控行动</w:t>
      </w:r>
    </w:p>
    <w:p>
      <w:pPr>
        <w:keepNext w:val="0"/>
        <w:keepLines w:val="0"/>
        <w:pageBreakBefore w:val="0"/>
        <w:widowControl w:val="0"/>
        <w:kinsoku/>
        <w:wordWrap/>
        <w:overflowPunct w:val="0"/>
        <w:topLinePunct/>
        <w:autoSpaceDE/>
        <w:autoSpaceDN/>
        <w:bidi w:val="0"/>
        <w:adjustRightInd/>
        <w:snapToGrid/>
        <w:spacing w:line="580" w:lineRule="exact"/>
        <w:ind w:right="0" w:firstLine="640" w:firstLineChars="200"/>
        <w:jc w:val="both"/>
        <w:textAlignment w:val="auto"/>
        <w:rPr>
          <w:rFonts w:hint="eastAsia" w:ascii="楷体_GB2312" w:hAnsi="楷体_GB2312" w:eastAsia="楷体_GB2312" w:cs="楷体_GB2312"/>
          <w:color w:val="auto"/>
          <w:spacing w:val="-3"/>
          <w:sz w:val="32"/>
          <w:szCs w:val="32"/>
        </w:rPr>
      </w:pPr>
      <w:r>
        <w:rPr>
          <w:rFonts w:hint="eastAsia" w:ascii="仿宋_GB2312" w:hAnsi="仿宋_GB2312" w:eastAsia="仿宋_GB2312" w:cs="仿宋_GB2312"/>
          <w:snapToGrid/>
          <w:color w:val="auto"/>
          <w:kern w:val="2"/>
          <w:sz w:val="32"/>
          <w:szCs w:val="32"/>
          <w:lang w:val="en-US" w:eastAsia="zh-CN" w:bidi="ar-SA"/>
        </w:rPr>
        <w:t>1．加强婚前和孕前保健。积极推进婚前医学检查，推广婚姻登记、婚前医学检查、婚育健康宣传教育、生育指导一站式服务。加强对遗传性疾病、指定传染病、严重精神障碍的检查并提出医学意见。深入实施孕前优生健康检查、增补叶酸等基本公共卫生服务，指导科学备孕，为计划怀孕夫妇提供健康教育、咨询指导、筛查评估、综合干预等孕前优生服务，推进补服叶酸预防神经管缺陷。</w:t>
      </w:r>
      <w:r>
        <w:rPr>
          <w:rFonts w:hint="eastAsia" w:ascii="楷体_GB2312" w:hAnsi="楷体_GB2312" w:eastAsia="楷体_GB2312" w:cs="楷体_GB2312"/>
          <w:color w:val="auto"/>
          <w:spacing w:val="-3"/>
          <w:sz w:val="32"/>
          <w:szCs w:val="32"/>
          <w:lang w:eastAsia="zh-CN"/>
        </w:rPr>
        <w:t>（市卫健局牵头，市民政局、市妇联按职责分工负责）</w:t>
      </w:r>
    </w:p>
    <w:p>
      <w:pPr>
        <w:keepNext w:val="0"/>
        <w:keepLines w:val="0"/>
        <w:pageBreakBefore w:val="0"/>
        <w:widowControl w:val="0"/>
        <w:kinsoku/>
        <w:wordWrap/>
        <w:overflowPunct w:val="0"/>
        <w:topLinePunct/>
        <w:autoSpaceDE/>
        <w:autoSpaceDN/>
        <w:bidi w:val="0"/>
        <w:spacing w:line="580" w:lineRule="exact"/>
        <w:ind w:right="0" w:firstLine="640" w:firstLineChars="200"/>
        <w:jc w:val="both"/>
        <w:rPr>
          <w:rFonts w:hint="eastAsia" w:ascii="楷体_GB2312" w:hAnsi="楷体_GB2312" w:eastAsia="楷体_GB2312" w:cs="楷体_GB2312"/>
          <w:color w:val="auto"/>
          <w:spacing w:val="-3"/>
          <w:sz w:val="32"/>
          <w:szCs w:val="32"/>
        </w:rPr>
      </w:pPr>
      <w:r>
        <w:rPr>
          <w:rFonts w:hint="eastAsia" w:ascii="仿宋_GB2312" w:hAnsi="仿宋_GB2312" w:eastAsia="仿宋_GB2312" w:cs="仿宋_GB2312"/>
          <w:snapToGrid/>
          <w:color w:val="auto"/>
          <w:kern w:val="2"/>
          <w:sz w:val="32"/>
          <w:szCs w:val="32"/>
          <w:lang w:val="en-US" w:eastAsia="zh-CN" w:bidi="ar-SA"/>
        </w:rPr>
        <w:t>2．加强产前筛查和诊断。提供生育全程基本医疗保健服务，广泛开展产前筛查，加强产前筛查诊断和技术管理，有效减少常见胎儿染色体病、严重胎儿结构畸形、单基因遗传病等先天严重缺陷儿的出生。加大高风险人群评估指导和追踪随访力度。推进高龄孕产妇等重点人群的分类管理和服务，落实妊娠风险筛查和评估、高位孕产妇专案管理等制度。完善出生缺陷防治网络，构建覆盖城乡居民，涵盖婚前、孕前、产前和新生儿各阶段的出生缺陷防治体系。实施母婴安全行动提升计划。推动实施重点人群耳聋基因筛查、罕见病筛查等项目。</w:t>
      </w:r>
      <w:r>
        <w:rPr>
          <w:rFonts w:hint="eastAsia" w:ascii="楷体_GB2312" w:hAnsi="楷体_GB2312" w:eastAsia="楷体_GB2312" w:cs="楷体_GB2312"/>
          <w:color w:val="auto"/>
          <w:spacing w:val="-3"/>
          <w:sz w:val="32"/>
          <w:szCs w:val="32"/>
          <w:lang w:eastAsia="zh-CN"/>
        </w:rPr>
        <w:t>（市卫健</w:t>
      </w:r>
      <w:r>
        <w:rPr>
          <w:rFonts w:hint="eastAsia" w:ascii="楷体_GB2312" w:hAnsi="楷体_GB2312" w:eastAsia="楷体_GB2312" w:cs="楷体_GB2312"/>
          <w:color w:val="auto"/>
          <w:spacing w:val="-3"/>
          <w:sz w:val="32"/>
          <w:szCs w:val="32"/>
          <w:lang w:val="en-US" w:eastAsia="zh-CN"/>
        </w:rPr>
        <w:t>局</w:t>
      </w:r>
      <w:r>
        <w:rPr>
          <w:rFonts w:hint="eastAsia" w:ascii="楷体_GB2312" w:hAnsi="楷体_GB2312" w:eastAsia="楷体_GB2312" w:cs="楷体_GB2312"/>
          <w:color w:val="auto"/>
          <w:spacing w:val="-3"/>
          <w:sz w:val="32"/>
          <w:szCs w:val="32"/>
          <w:lang w:eastAsia="zh-CN"/>
        </w:rPr>
        <w:t>牵头）</w:t>
      </w:r>
    </w:p>
    <w:p>
      <w:pPr>
        <w:keepNext w:val="0"/>
        <w:keepLines w:val="0"/>
        <w:pageBreakBefore w:val="0"/>
        <w:widowControl w:val="0"/>
        <w:kinsoku/>
        <w:wordWrap/>
        <w:overflowPunct w:val="0"/>
        <w:topLinePunct/>
        <w:autoSpaceDE/>
        <w:autoSpaceDN/>
        <w:bidi w:val="0"/>
        <w:spacing w:line="580" w:lineRule="exact"/>
        <w:ind w:right="0" w:firstLine="640" w:firstLineChars="200"/>
        <w:jc w:val="both"/>
        <w:rPr>
          <w:rFonts w:hint="eastAsia" w:ascii="楷体_GB2312" w:hAnsi="楷体_GB2312" w:eastAsia="楷体_GB2312" w:cs="楷体_GB2312"/>
          <w:color w:val="auto"/>
          <w:spacing w:val="-3"/>
          <w:sz w:val="32"/>
          <w:szCs w:val="32"/>
          <w:lang w:eastAsia="zh-CN"/>
        </w:rPr>
      </w:pPr>
      <w:r>
        <w:rPr>
          <w:rFonts w:hint="eastAsia" w:ascii="仿宋_GB2312" w:hAnsi="仿宋_GB2312" w:eastAsia="仿宋_GB2312" w:cs="仿宋_GB2312"/>
          <w:snapToGrid/>
          <w:color w:val="auto"/>
          <w:kern w:val="2"/>
          <w:sz w:val="32"/>
          <w:szCs w:val="32"/>
          <w:lang w:val="en-US" w:eastAsia="zh-CN" w:bidi="ar-SA"/>
        </w:rPr>
        <w:t>3．加强儿童残疾早期筛查和干预。全面开展新生儿疾病筛查，逐步扩大新生儿疾病筛查病种范围，加强筛查阳性病例的随访、确诊、治疗和干预，避免新生儿因病致残。加强残疾预防关口前移，做实0—6岁儿童健康管理工作，大力推进视力、听力、言语、肢体、智力和孤独症等六类残疾为重点的0—6岁儿童残疾筛查，建立筛查、诊断、康复救助衔接机制，不断提升儿童致残性疾病早发现、早诊断、早干预、早康复能力和效果。</w:t>
      </w:r>
      <w:r>
        <w:rPr>
          <w:rFonts w:hint="eastAsia" w:ascii="楷体_GB2312" w:hAnsi="楷体_GB2312" w:eastAsia="楷体_GB2312" w:cs="楷体_GB2312"/>
          <w:color w:val="auto"/>
          <w:spacing w:val="-3"/>
          <w:sz w:val="32"/>
          <w:szCs w:val="32"/>
          <w:lang w:eastAsia="zh-CN"/>
        </w:rPr>
        <w:t>（市卫健局、市残联牵头，市教体局、市妇联按职责分工负责）</w:t>
      </w:r>
    </w:p>
    <w:p>
      <w:pPr>
        <w:keepNext w:val="0"/>
        <w:keepLines w:val="0"/>
        <w:pageBreakBefore w:val="0"/>
        <w:widowControl w:val="0"/>
        <w:kinsoku/>
        <w:wordWrap/>
        <w:overflowPunct w:val="0"/>
        <w:topLinePunct/>
        <w:autoSpaceDE/>
        <w:autoSpaceDN/>
        <w:bidi w:val="0"/>
        <w:adjustRightInd/>
        <w:snapToGrid/>
        <w:spacing w:line="580" w:lineRule="exact"/>
        <w:ind w:right="0" w:firstLine="628" w:firstLineChars="200"/>
        <w:jc w:val="both"/>
        <w:textAlignment w:val="auto"/>
        <w:rPr>
          <w:rFonts w:hint="eastAsia" w:ascii="楷体_GB2312" w:hAnsi="楷体_GB2312" w:eastAsia="楷体_GB2312" w:cs="楷体_GB2312"/>
          <w:color w:val="auto"/>
          <w:spacing w:val="-3"/>
          <w:sz w:val="32"/>
          <w:szCs w:val="32"/>
          <w:lang w:eastAsia="zh-CN"/>
        </w:rPr>
      </w:pPr>
      <w:r>
        <w:rPr>
          <w:rFonts w:hint="eastAsia" w:ascii="楷体_GB2312" w:hAnsi="楷体_GB2312" w:eastAsia="楷体_GB2312" w:cs="楷体_GB2312"/>
          <w:color w:val="auto"/>
          <w:spacing w:val="-3"/>
          <w:sz w:val="32"/>
          <w:szCs w:val="32"/>
          <w:lang w:eastAsia="zh-CN"/>
        </w:rPr>
        <w:t>（三）疾病致残防控行动</w:t>
      </w:r>
    </w:p>
    <w:p>
      <w:pPr>
        <w:keepNext w:val="0"/>
        <w:keepLines w:val="0"/>
        <w:pageBreakBefore w:val="0"/>
        <w:widowControl w:val="0"/>
        <w:kinsoku/>
        <w:wordWrap/>
        <w:overflowPunct w:val="0"/>
        <w:topLinePunct/>
        <w:autoSpaceDE/>
        <w:autoSpaceDN/>
        <w:bidi w:val="0"/>
        <w:spacing w:line="580" w:lineRule="exact"/>
        <w:ind w:right="0" w:firstLine="640" w:firstLineChars="200"/>
        <w:jc w:val="both"/>
        <w:rPr>
          <w:rFonts w:hint="eastAsia" w:ascii="楷体_GB2312" w:hAnsi="楷体_GB2312" w:eastAsia="楷体_GB2312" w:cs="楷体_GB2312"/>
          <w:color w:val="auto"/>
          <w:spacing w:val="-3"/>
          <w:sz w:val="32"/>
          <w:szCs w:val="32"/>
          <w:lang w:eastAsia="zh-CN"/>
        </w:rPr>
      </w:pPr>
      <w:r>
        <w:rPr>
          <w:rFonts w:hint="eastAsia" w:ascii="仿宋_GB2312" w:hAnsi="仿宋_GB2312" w:eastAsia="仿宋_GB2312" w:cs="仿宋_GB2312"/>
          <w:snapToGrid/>
          <w:color w:val="auto"/>
          <w:kern w:val="2"/>
          <w:sz w:val="32"/>
          <w:szCs w:val="32"/>
          <w:lang w:val="en-US" w:eastAsia="zh-CN" w:bidi="ar-SA"/>
        </w:rPr>
        <w:t>1．提升慢性病防控能力。推广健康生活方式，提倡戒烟限酒、 低油低盐低糖饮食。开展全民健身行动，普及科学健身方法，推动开展社区体育活动，发挥好体育健身在主动健康干预和慢性病防治、康复中的作用。加强高血压、糖尿病等慢性病患者规范管理和并发症筛查干预，最大限度控制和减少慢性病致残。实施好“加强脑卒中防治工作减少百万新发残疾工程”。提升家庭医生签约服务质量，推进基层慢性病医防融合管理。充分用好中医药“治未病”优势，推广中医药预防保健服务。着力做好防盲治盲防聋治聋工作。</w:t>
      </w:r>
      <w:r>
        <w:rPr>
          <w:rFonts w:hint="eastAsia" w:ascii="楷体_GB2312" w:hAnsi="楷体_GB2312" w:eastAsia="楷体_GB2312" w:cs="楷体_GB2312"/>
          <w:color w:val="auto"/>
          <w:spacing w:val="-3"/>
          <w:sz w:val="32"/>
          <w:szCs w:val="32"/>
          <w:lang w:eastAsia="zh-CN"/>
        </w:rPr>
        <w:t>（市卫健局、市</w:t>
      </w:r>
      <w:r>
        <w:rPr>
          <w:rFonts w:hint="eastAsia" w:ascii="楷体_GB2312" w:hAnsi="楷体_GB2312" w:eastAsia="楷体_GB2312" w:cs="楷体_GB2312"/>
          <w:color w:val="auto"/>
          <w:spacing w:val="-3"/>
          <w:sz w:val="32"/>
          <w:szCs w:val="32"/>
          <w:lang w:val="en-US" w:eastAsia="zh-CN"/>
        </w:rPr>
        <w:t>教体</w:t>
      </w:r>
      <w:r>
        <w:rPr>
          <w:rFonts w:hint="eastAsia" w:ascii="楷体_GB2312" w:hAnsi="楷体_GB2312" w:eastAsia="楷体_GB2312" w:cs="楷体_GB2312"/>
          <w:color w:val="auto"/>
          <w:spacing w:val="-3"/>
          <w:sz w:val="32"/>
          <w:szCs w:val="32"/>
          <w:lang w:eastAsia="zh-CN"/>
        </w:rPr>
        <w:t>局牵头，市</w:t>
      </w:r>
      <w:r>
        <w:rPr>
          <w:rFonts w:hint="eastAsia" w:ascii="楷体_GB2312" w:hAnsi="楷体_GB2312" w:eastAsia="楷体_GB2312" w:cs="楷体_GB2312"/>
          <w:color w:val="auto"/>
          <w:spacing w:val="-3"/>
          <w:sz w:val="32"/>
          <w:szCs w:val="32"/>
          <w:lang w:val="en-US" w:eastAsia="zh-CN"/>
        </w:rPr>
        <w:t>体育事业发展中心</w:t>
      </w:r>
      <w:r>
        <w:rPr>
          <w:rFonts w:hint="eastAsia" w:ascii="楷体_GB2312" w:hAnsi="楷体_GB2312" w:eastAsia="楷体_GB2312" w:cs="楷体_GB2312"/>
          <w:color w:val="auto"/>
          <w:spacing w:val="-3"/>
          <w:sz w:val="32"/>
          <w:szCs w:val="32"/>
          <w:lang w:eastAsia="zh-CN"/>
        </w:rPr>
        <w:t>、市残联按职责分工负责）</w:t>
      </w:r>
    </w:p>
    <w:p>
      <w:pPr>
        <w:keepNext w:val="0"/>
        <w:keepLines w:val="0"/>
        <w:pageBreakBefore w:val="0"/>
        <w:widowControl w:val="0"/>
        <w:kinsoku/>
        <w:wordWrap/>
        <w:overflowPunct w:val="0"/>
        <w:topLinePunct/>
        <w:autoSpaceDE/>
        <w:autoSpaceDN/>
        <w:bidi w:val="0"/>
        <w:spacing w:line="580" w:lineRule="exact"/>
        <w:ind w:right="0" w:firstLine="640" w:firstLineChars="200"/>
        <w:jc w:val="both"/>
        <w:rPr>
          <w:rFonts w:hint="eastAsia" w:ascii="楷体_GB2312" w:hAnsi="楷体_GB2312" w:eastAsia="楷体_GB2312" w:cs="楷体_GB2312"/>
          <w:color w:val="auto"/>
          <w:spacing w:val="-3"/>
          <w:sz w:val="32"/>
          <w:szCs w:val="32"/>
          <w:lang w:eastAsia="zh-CN"/>
        </w:rPr>
      </w:pPr>
      <w:r>
        <w:rPr>
          <w:rFonts w:hint="eastAsia" w:ascii="仿宋_GB2312" w:hAnsi="仿宋_GB2312" w:eastAsia="仿宋_GB2312" w:cs="仿宋_GB2312"/>
          <w:snapToGrid/>
          <w:color w:val="auto"/>
          <w:kern w:val="2"/>
          <w:sz w:val="32"/>
          <w:szCs w:val="32"/>
          <w:lang w:val="en-US" w:eastAsia="zh-CN" w:bidi="ar-SA"/>
        </w:rPr>
        <w:t>2．提升社会心理服务和精神疾病治疗水平。持续开展心理健康促进行动，完善社会心理健康服务体系，强化重点人群心理健康服务。做好各类突发事件群体危机管理和心理干预。加强对精神分裂症、阿尔茨海默症、抑郁症、孤独症等主要致残性精神疾病的筛查识别和治疗。规范严重精神障碍患者管理，落实监管责任，做好严重精神障碍患者特别是肇事肇祸精神障碍患者的医疗救治工作。开展社会心理服务和社区心理干预，预防和减少精神残疾发生。</w:t>
      </w:r>
      <w:r>
        <w:rPr>
          <w:rFonts w:hint="eastAsia" w:ascii="楷体_GB2312" w:hAnsi="楷体_GB2312" w:eastAsia="楷体_GB2312" w:cs="楷体_GB2312"/>
          <w:color w:val="auto"/>
          <w:spacing w:val="-3"/>
          <w:sz w:val="32"/>
          <w:szCs w:val="32"/>
          <w:lang w:eastAsia="zh-CN"/>
        </w:rPr>
        <w:t>（市卫健局、市委政法委牵头，市公安局、市民政局、市应急局、市医保局、市妇联、市残联按职责分工负责）</w:t>
      </w:r>
    </w:p>
    <w:p>
      <w:pPr>
        <w:keepNext w:val="0"/>
        <w:keepLines w:val="0"/>
        <w:pageBreakBefore w:val="0"/>
        <w:widowControl w:val="0"/>
        <w:kinsoku/>
        <w:wordWrap/>
        <w:overflowPunct w:val="0"/>
        <w:topLinePunct/>
        <w:autoSpaceDE/>
        <w:autoSpaceDN/>
        <w:bidi w:val="0"/>
        <w:spacing w:line="580" w:lineRule="exact"/>
        <w:ind w:right="0" w:firstLine="640" w:firstLineChars="200"/>
        <w:jc w:val="both"/>
        <w:rPr>
          <w:rFonts w:hint="eastAsia" w:ascii="楷体_GB2312" w:hAnsi="楷体_GB2312" w:eastAsia="楷体_GB2312" w:cs="楷体_GB2312"/>
          <w:color w:val="auto"/>
          <w:spacing w:val="-3"/>
          <w:sz w:val="32"/>
          <w:szCs w:val="32"/>
          <w:lang w:eastAsia="zh-CN"/>
        </w:rPr>
      </w:pPr>
      <w:r>
        <w:rPr>
          <w:rFonts w:hint="eastAsia" w:ascii="仿宋_GB2312" w:hAnsi="仿宋_GB2312" w:eastAsia="仿宋_GB2312" w:cs="仿宋_GB2312"/>
          <w:snapToGrid/>
          <w:color w:val="auto"/>
          <w:kern w:val="2"/>
          <w:sz w:val="32"/>
          <w:szCs w:val="32"/>
          <w:lang w:val="en-US" w:eastAsia="zh-CN" w:bidi="ar-SA"/>
        </w:rPr>
        <w:t>3．提升传染病和地方病科学防控水平。加强传染病综合防控，做好监测预警、信息报告和医疗救治工作。全面落实国家免疫规划，继续将脊髓灰质炎、流行性乙型脑炎等致残性传染病的疫苗接种率维持在高水平。适时调整疫苗种类，适当扩大适龄儿童免疫规划，确保疫苗使用安全。做好地方病监测全覆盖，继续保持碘缺乏病消除状态，持续消除克山病、大骨节病、氟骨症等重大地方病致残。提升麻风病监测和畸残康复水平。</w:t>
      </w:r>
      <w:r>
        <w:rPr>
          <w:rFonts w:hint="eastAsia" w:ascii="楷体_GB2312" w:hAnsi="楷体_GB2312" w:eastAsia="楷体_GB2312" w:cs="楷体_GB2312"/>
          <w:color w:val="auto"/>
          <w:spacing w:val="-3"/>
          <w:sz w:val="32"/>
          <w:szCs w:val="32"/>
          <w:lang w:eastAsia="zh-CN"/>
        </w:rPr>
        <w:t>（市卫健局牵头）</w:t>
      </w:r>
    </w:p>
    <w:p>
      <w:pPr>
        <w:keepNext w:val="0"/>
        <w:keepLines w:val="0"/>
        <w:pageBreakBefore w:val="0"/>
        <w:widowControl w:val="0"/>
        <w:kinsoku/>
        <w:wordWrap/>
        <w:overflowPunct w:val="0"/>
        <w:topLinePunct/>
        <w:autoSpaceDE/>
        <w:autoSpaceDN/>
        <w:bidi w:val="0"/>
        <w:spacing w:line="580" w:lineRule="exact"/>
        <w:ind w:right="0" w:firstLine="640" w:firstLineChars="200"/>
        <w:jc w:val="both"/>
        <w:rPr>
          <w:rFonts w:hint="eastAsia" w:ascii="楷体_GB2312" w:hAnsi="楷体_GB2312" w:eastAsia="楷体_GB2312" w:cs="楷体_GB2312"/>
          <w:color w:val="auto"/>
          <w:spacing w:val="-3"/>
          <w:sz w:val="32"/>
          <w:szCs w:val="32"/>
          <w:lang w:eastAsia="zh-CN"/>
        </w:rPr>
      </w:pPr>
      <w:r>
        <w:rPr>
          <w:rFonts w:hint="eastAsia" w:ascii="仿宋_GB2312" w:hAnsi="仿宋_GB2312" w:eastAsia="仿宋_GB2312" w:cs="仿宋_GB2312"/>
          <w:snapToGrid/>
          <w:color w:val="auto"/>
          <w:kern w:val="2"/>
          <w:sz w:val="32"/>
          <w:szCs w:val="32"/>
          <w:lang w:val="en-US" w:eastAsia="zh-CN" w:bidi="ar-SA"/>
        </w:rPr>
        <w:t>4．提升职业病监管、预防和救治能力。严格落实《中华人民共和国职业病防治法》，加强职业病预防监督管理。以粉尘、化学毒物、噪声和辐射等危害因素为重点，限制使用或者淘汰职业病危害严重的落后技术、工艺、设备和材料，加强重点人群劳动保护。健全职业病危害事故救援预案，提高严重致残职业病患者救治水平。加强职业病防治和安全生产知识宣传教育，增强用人单位的职业病防治观念，提高劳动者的职业健康意识、自我保护意识和行使职业卫生保护权利的能力。</w:t>
      </w:r>
      <w:r>
        <w:rPr>
          <w:rFonts w:hint="eastAsia" w:ascii="楷体_GB2312" w:hAnsi="楷体_GB2312" w:eastAsia="楷体_GB2312" w:cs="楷体_GB2312"/>
          <w:color w:val="auto"/>
          <w:spacing w:val="-3"/>
          <w:sz w:val="32"/>
          <w:szCs w:val="32"/>
          <w:lang w:eastAsia="zh-CN"/>
        </w:rPr>
        <w:t>（市卫健局牵头，市发改</w:t>
      </w:r>
      <w:r>
        <w:rPr>
          <w:rFonts w:hint="eastAsia" w:ascii="楷体_GB2312" w:hAnsi="楷体_GB2312" w:eastAsia="楷体_GB2312" w:cs="楷体_GB2312"/>
          <w:color w:val="auto"/>
          <w:spacing w:val="-3"/>
          <w:sz w:val="32"/>
          <w:szCs w:val="32"/>
          <w:lang w:val="en-US" w:eastAsia="zh-CN"/>
        </w:rPr>
        <w:t>局</w:t>
      </w:r>
      <w:r>
        <w:rPr>
          <w:rFonts w:hint="eastAsia" w:ascii="楷体_GB2312" w:hAnsi="楷体_GB2312" w:eastAsia="楷体_GB2312" w:cs="楷体_GB2312"/>
          <w:color w:val="auto"/>
          <w:spacing w:val="-3"/>
          <w:sz w:val="32"/>
          <w:szCs w:val="32"/>
          <w:lang w:eastAsia="zh-CN"/>
        </w:rPr>
        <w:t>、市人社局、市应急局、市总工会按职责分工负责）</w:t>
      </w:r>
    </w:p>
    <w:p>
      <w:pPr>
        <w:keepNext w:val="0"/>
        <w:keepLines w:val="0"/>
        <w:pageBreakBefore w:val="0"/>
        <w:widowControl w:val="0"/>
        <w:kinsoku/>
        <w:wordWrap/>
        <w:overflowPunct w:val="0"/>
        <w:topLinePunct/>
        <w:autoSpaceDE/>
        <w:autoSpaceDN/>
        <w:bidi w:val="0"/>
        <w:adjustRightInd/>
        <w:snapToGrid/>
        <w:spacing w:line="580" w:lineRule="exact"/>
        <w:ind w:right="0" w:firstLine="628" w:firstLineChars="200"/>
        <w:jc w:val="both"/>
        <w:textAlignment w:val="auto"/>
        <w:rPr>
          <w:rFonts w:hint="eastAsia" w:ascii="楷体_GB2312" w:hAnsi="楷体_GB2312" w:eastAsia="楷体_GB2312" w:cs="楷体_GB2312"/>
          <w:color w:val="auto"/>
          <w:spacing w:val="-3"/>
          <w:sz w:val="32"/>
          <w:szCs w:val="32"/>
          <w:lang w:eastAsia="zh-CN"/>
        </w:rPr>
      </w:pPr>
      <w:r>
        <w:rPr>
          <w:rFonts w:hint="eastAsia" w:ascii="楷体_GB2312" w:hAnsi="楷体_GB2312" w:eastAsia="楷体_GB2312" w:cs="楷体_GB2312"/>
          <w:color w:val="auto"/>
          <w:spacing w:val="-3"/>
          <w:sz w:val="32"/>
          <w:szCs w:val="32"/>
          <w:lang w:eastAsia="zh-CN"/>
        </w:rPr>
        <w:t>（四）伤害致残防控行动</w:t>
      </w:r>
    </w:p>
    <w:p>
      <w:pPr>
        <w:keepNext w:val="0"/>
        <w:keepLines w:val="0"/>
        <w:pageBreakBefore w:val="0"/>
        <w:widowControl w:val="0"/>
        <w:kinsoku/>
        <w:wordWrap/>
        <w:overflowPunct w:val="0"/>
        <w:topLinePunct/>
        <w:autoSpaceDE/>
        <w:autoSpaceDN/>
        <w:bidi w:val="0"/>
        <w:spacing w:line="580" w:lineRule="exact"/>
        <w:ind w:right="0" w:firstLine="640" w:firstLineChars="200"/>
        <w:jc w:val="both"/>
        <w:rPr>
          <w:rFonts w:hint="eastAsia" w:ascii="楷体_GB2312" w:hAnsi="楷体_GB2312" w:eastAsia="楷体_GB2312" w:cs="楷体_GB2312"/>
          <w:color w:val="auto"/>
          <w:spacing w:val="-3"/>
          <w:sz w:val="32"/>
          <w:szCs w:val="32"/>
          <w:lang w:eastAsia="zh-CN"/>
        </w:rPr>
      </w:pPr>
      <w:r>
        <w:rPr>
          <w:rFonts w:hint="eastAsia" w:ascii="仿宋_GB2312" w:hAnsi="仿宋_GB2312" w:eastAsia="仿宋_GB2312" w:cs="仿宋_GB2312"/>
          <w:snapToGrid/>
          <w:color w:val="auto"/>
          <w:kern w:val="2"/>
          <w:sz w:val="32"/>
          <w:szCs w:val="32"/>
          <w:lang w:val="en-US" w:eastAsia="zh-CN" w:bidi="ar-SA"/>
        </w:rPr>
        <w:t>1．强化安全生产和消防安全监督管理。严格落实安全生产主体责任和政府监管责任，瞄准危险化学品、矿山、建筑施工、交通运输等重点行业，加大安全生产监管执法力度，排查治理重点行业领域重大事故隐患，持续改善工矿商贸行业安全条件。严格落实消防安全工作责任，以高层建筑、客运车站、码头、医院、学校、幼儿园、养老院、儿童福利机构、未成年人救助保护机构及劳动密集型企业等人员密集场所为重点，针对消防安全普遍性、源头性突出问题，组织开展精准治理，完善消防安全设施，有效提高防范火灾能力。</w:t>
      </w:r>
      <w:r>
        <w:rPr>
          <w:rFonts w:hint="eastAsia" w:ascii="楷体_GB2312" w:hAnsi="楷体_GB2312" w:eastAsia="楷体_GB2312" w:cs="楷体_GB2312"/>
          <w:color w:val="auto"/>
          <w:spacing w:val="-3"/>
          <w:sz w:val="32"/>
          <w:szCs w:val="32"/>
          <w:lang w:eastAsia="zh-CN"/>
        </w:rPr>
        <w:t>（市应急局、</w:t>
      </w:r>
      <w:r>
        <w:rPr>
          <w:rFonts w:hint="eastAsia" w:ascii="楷体_GB2312" w:hAnsi="楷体_GB2312" w:eastAsia="楷体_GB2312" w:cs="楷体_GB2312"/>
          <w:color w:val="auto"/>
          <w:spacing w:val="-3"/>
          <w:sz w:val="32"/>
          <w:szCs w:val="32"/>
          <w:lang w:val="en-US" w:eastAsia="zh-CN"/>
        </w:rPr>
        <w:t>市消防救援大队</w:t>
      </w:r>
      <w:r>
        <w:rPr>
          <w:rFonts w:hint="eastAsia" w:ascii="楷体_GB2312" w:hAnsi="楷体_GB2312" w:eastAsia="楷体_GB2312" w:cs="楷体_GB2312"/>
          <w:color w:val="auto"/>
          <w:spacing w:val="-3"/>
          <w:sz w:val="32"/>
          <w:szCs w:val="32"/>
          <w:lang w:eastAsia="zh-CN"/>
        </w:rPr>
        <w:t>牵头，市教</w:t>
      </w:r>
      <w:r>
        <w:rPr>
          <w:rFonts w:hint="eastAsia" w:ascii="楷体_GB2312" w:hAnsi="楷体_GB2312" w:eastAsia="楷体_GB2312" w:cs="楷体_GB2312"/>
          <w:color w:val="auto"/>
          <w:spacing w:val="-3"/>
          <w:sz w:val="32"/>
          <w:szCs w:val="32"/>
          <w:lang w:val="en-US" w:eastAsia="zh-CN"/>
        </w:rPr>
        <w:t>体</w:t>
      </w:r>
      <w:r>
        <w:rPr>
          <w:rFonts w:hint="eastAsia" w:ascii="楷体_GB2312" w:hAnsi="楷体_GB2312" w:eastAsia="楷体_GB2312" w:cs="楷体_GB2312"/>
          <w:color w:val="auto"/>
          <w:spacing w:val="-3"/>
          <w:sz w:val="32"/>
          <w:szCs w:val="32"/>
          <w:lang w:eastAsia="zh-CN"/>
        </w:rPr>
        <w:t>局、市民政局、市人社局、市住建局、市交通运输局、市卫健局、市总工会按职责分工负责）</w:t>
      </w:r>
    </w:p>
    <w:p>
      <w:pPr>
        <w:keepNext w:val="0"/>
        <w:keepLines w:val="0"/>
        <w:pageBreakBefore w:val="0"/>
        <w:widowControl w:val="0"/>
        <w:kinsoku/>
        <w:wordWrap/>
        <w:overflowPunct w:val="0"/>
        <w:topLinePunct/>
        <w:autoSpaceDE/>
        <w:autoSpaceDN/>
        <w:bidi w:val="0"/>
        <w:spacing w:line="580" w:lineRule="exact"/>
        <w:ind w:right="0" w:firstLine="640" w:firstLineChars="200"/>
        <w:jc w:val="both"/>
        <w:rPr>
          <w:rFonts w:hint="eastAsia" w:ascii="楷体_GB2312" w:hAnsi="楷体_GB2312" w:eastAsia="楷体_GB2312" w:cs="楷体_GB2312"/>
          <w:color w:val="auto"/>
          <w:spacing w:val="-3"/>
          <w:sz w:val="32"/>
          <w:szCs w:val="32"/>
          <w:lang w:eastAsia="zh-CN"/>
        </w:rPr>
      </w:pPr>
      <w:r>
        <w:rPr>
          <w:rFonts w:hint="eastAsia" w:ascii="仿宋_GB2312" w:hAnsi="仿宋_GB2312" w:eastAsia="仿宋_GB2312" w:cs="仿宋_GB2312"/>
          <w:snapToGrid/>
          <w:color w:val="auto"/>
          <w:kern w:val="2"/>
          <w:sz w:val="32"/>
          <w:szCs w:val="32"/>
          <w:lang w:val="en-US" w:eastAsia="zh-CN" w:bidi="ar-SA"/>
        </w:rPr>
        <w:t>2．强化道路交通和运输安全管理。压实道路运输企业安全生产主体责任和部门监管责任，构建安全风险分级管控和隐患排查治理双重预防机制，提升道路设施安全保障水平，加大严重交通违法行为查处力度。开展道路隐患排查治理，确保公路及其附属设施始终处于良好技术状况，大力实施公路生命安全防护工程，对临水、临崖、急弯陡坡等重点路段进行治理，通过完善防护、排水及增设交通安全设施等措施，提升公路防灾减灾能力，最大限度减少突发灾害及事故造成的损失。加强“两客一危”重点营运车辆动态监控和零担货物道路运输安全管理。强化电动自行车综合治理。提高道路交通事故伤者应急救援能力，减少交通事故致残。</w:t>
      </w:r>
      <w:r>
        <w:rPr>
          <w:rFonts w:hint="eastAsia" w:ascii="楷体_GB2312" w:hAnsi="楷体_GB2312" w:eastAsia="楷体_GB2312" w:cs="楷体_GB2312"/>
          <w:color w:val="auto"/>
          <w:spacing w:val="-3"/>
          <w:sz w:val="32"/>
          <w:szCs w:val="32"/>
          <w:lang w:eastAsia="zh-CN"/>
        </w:rPr>
        <w:t>（市公安局、市交通运输局牵头，市工信局、市文旅局、市卫健局、市应急局、市市场监管局按职责分工负责）</w:t>
      </w:r>
    </w:p>
    <w:p>
      <w:pPr>
        <w:keepNext w:val="0"/>
        <w:keepLines w:val="0"/>
        <w:pageBreakBefore w:val="0"/>
        <w:widowControl w:val="0"/>
        <w:kinsoku/>
        <w:wordWrap/>
        <w:overflowPunct w:val="0"/>
        <w:topLinePunct/>
        <w:autoSpaceDE/>
        <w:autoSpaceDN/>
        <w:bidi w:val="0"/>
        <w:spacing w:line="580" w:lineRule="exact"/>
        <w:ind w:right="0" w:firstLine="640" w:firstLineChars="200"/>
        <w:jc w:val="both"/>
        <w:rPr>
          <w:rFonts w:hint="eastAsia" w:ascii="楷体_GB2312" w:hAnsi="楷体_GB2312" w:eastAsia="楷体_GB2312" w:cs="楷体_GB2312"/>
          <w:color w:val="auto"/>
          <w:spacing w:val="-3"/>
          <w:sz w:val="32"/>
          <w:szCs w:val="32"/>
          <w:lang w:eastAsia="zh-CN"/>
        </w:rPr>
      </w:pPr>
      <w:r>
        <w:rPr>
          <w:rFonts w:hint="eastAsia" w:ascii="仿宋_GB2312" w:hAnsi="仿宋_GB2312" w:eastAsia="仿宋_GB2312" w:cs="仿宋_GB2312"/>
          <w:snapToGrid/>
          <w:color w:val="auto"/>
          <w:kern w:val="2"/>
          <w:sz w:val="32"/>
          <w:szCs w:val="32"/>
          <w:lang w:val="en-US" w:eastAsia="zh-CN" w:bidi="ar-SA"/>
        </w:rPr>
        <w:t>3．强化工伤预防。实施工伤预防五年行动计划，建立健全工伤预防联防联控机制，精准确定重点行业企业，突出抓好工伤预防重点群体分级分类培训。落实工伤保险费率浮动制度，提高用人单位主动做好工伤预防工作的积极性。强化工作场所职业安全健康管理，开展职业安全健康教育，提高劳动者安全健康防护能力，减少因工伤致残。</w:t>
      </w:r>
      <w:r>
        <w:rPr>
          <w:rFonts w:hint="eastAsia" w:ascii="楷体_GB2312" w:hAnsi="楷体_GB2312" w:eastAsia="楷体_GB2312" w:cs="楷体_GB2312"/>
          <w:color w:val="auto"/>
          <w:spacing w:val="-3"/>
          <w:sz w:val="32"/>
          <w:szCs w:val="32"/>
          <w:lang w:eastAsia="zh-CN"/>
        </w:rPr>
        <w:t>（市人社局牵头，市工信局、市财政局、市住建局、市交通运输局、市卫健局、</w:t>
      </w:r>
      <w:r>
        <w:rPr>
          <w:rFonts w:hint="eastAsia" w:ascii="楷体_GB2312" w:hAnsi="楷体_GB2312" w:eastAsia="楷体_GB2312" w:cs="楷体_GB2312"/>
          <w:color w:val="auto"/>
          <w:spacing w:val="-3"/>
          <w:sz w:val="32"/>
          <w:szCs w:val="32"/>
          <w:lang w:val="en-US" w:eastAsia="zh-CN"/>
        </w:rPr>
        <w:t>市应急局、</w:t>
      </w:r>
      <w:r>
        <w:rPr>
          <w:rFonts w:hint="eastAsia" w:ascii="楷体_GB2312" w:hAnsi="楷体_GB2312" w:eastAsia="楷体_GB2312" w:cs="楷体_GB2312"/>
          <w:color w:val="auto"/>
          <w:spacing w:val="-3"/>
          <w:sz w:val="32"/>
          <w:szCs w:val="32"/>
          <w:lang w:eastAsia="zh-CN"/>
        </w:rPr>
        <w:t>市总工会、市</w:t>
      </w:r>
      <w:r>
        <w:rPr>
          <w:rFonts w:hint="eastAsia" w:ascii="楷体_GB2312" w:hAnsi="楷体_GB2312" w:eastAsia="楷体_GB2312" w:cs="楷体_GB2312"/>
          <w:color w:val="auto"/>
          <w:spacing w:val="-3"/>
          <w:sz w:val="32"/>
          <w:szCs w:val="32"/>
          <w:lang w:val="en-US" w:eastAsia="zh-CN"/>
        </w:rPr>
        <w:t>能源事务中心</w:t>
      </w:r>
      <w:r>
        <w:rPr>
          <w:rFonts w:hint="eastAsia" w:ascii="楷体_GB2312" w:hAnsi="楷体_GB2312" w:eastAsia="楷体_GB2312" w:cs="楷体_GB2312"/>
          <w:color w:val="auto"/>
          <w:spacing w:val="-3"/>
          <w:sz w:val="32"/>
          <w:szCs w:val="32"/>
          <w:lang w:eastAsia="zh-CN"/>
        </w:rPr>
        <w:t>按职责分工负责）</w:t>
      </w:r>
    </w:p>
    <w:p>
      <w:pPr>
        <w:keepNext w:val="0"/>
        <w:keepLines w:val="0"/>
        <w:pageBreakBefore w:val="0"/>
        <w:widowControl w:val="0"/>
        <w:kinsoku/>
        <w:wordWrap/>
        <w:overflowPunct w:val="0"/>
        <w:topLinePunct/>
        <w:autoSpaceDE/>
        <w:autoSpaceDN/>
        <w:bidi w:val="0"/>
        <w:spacing w:line="580" w:lineRule="exact"/>
        <w:ind w:right="0" w:firstLine="640" w:firstLineChars="200"/>
        <w:jc w:val="both"/>
        <w:rPr>
          <w:rFonts w:hint="eastAsia" w:ascii="楷体_GB2312" w:hAnsi="楷体_GB2312" w:eastAsia="楷体_GB2312" w:cs="楷体_GB2312"/>
          <w:color w:val="auto"/>
          <w:spacing w:val="-3"/>
          <w:sz w:val="32"/>
          <w:szCs w:val="32"/>
          <w:lang w:eastAsia="zh-CN"/>
        </w:rPr>
      </w:pPr>
      <w:r>
        <w:rPr>
          <w:rFonts w:hint="eastAsia" w:ascii="仿宋_GB2312" w:hAnsi="仿宋_GB2312" w:eastAsia="仿宋_GB2312" w:cs="仿宋_GB2312"/>
          <w:snapToGrid/>
          <w:color w:val="auto"/>
          <w:kern w:val="2"/>
          <w:sz w:val="32"/>
          <w:szCs w:val="32"/>
          <w:lang w:val="en-US" w:eastAsia="zh-CN" w:bidi="ar-SA"/>
        </w:rPr>
        <w:t>4．强化儿童伤害和老年人跌倒致残防控。实施学校、幼儿园、社区、家庭“四安全”儿童伤害综合干预，积极开展针对儿童溺水、道路交通伤害、跌落、烧烫伤、中毒及暴力等风险的安全教育。严格执行儿童用品强制性国家标准，加强对儿童食品、玩具、电子产品的监督监管，推广使用儿童安全座椅。广泛宣传儿童急救知识，提升家长、教师急救技能。持续实施特殊困难老年人家庭适老化改造。强化老年人用品用具质量监管。开展老年人跌倒干预和健康指导，提高老年人及其照料者预防跌倒的意识和能力。完善儿童伤害、老年人跌倒救援救治服务体系，提高救助水平。</w:t>
      </w:r>
      <w:r>
        <w:rPr>
          <w:rFonts w:hint="eastAsia" w:ascii="楷体_GB2312" w:hAnsi="楷体_GB2312" w:eastAsia="楷体_GB2312" w:cs="楷体_GB2312"/>
          <w:color w:val="auto"/>
          <w:spacing w:val="-3"/>
          <w:sz w:val="32"/>
          <w:szCs w:val="32"/>
          <w:lang w:eastAsia="zh-CN"/>
        </w:rPr>
        <w:t>（市教</w:t>
      </w:r>
      <w:r>
        <w:rPr>
          <w:rFonts w:hint="eastAsia" w:ascii="楷体_GB2312" w:hAnsi="楷体_GB2312" w:eastAsia="楷体_GB2312" w:cs="楷体_GB2312"/>
          <w:color w:val="auto"/>
          <w:spacing w:val="-3"/>
          <w:sz w:val="32"/>
          <w:szCs w:val="32"/>
          <w:lang w:val="en-US" w:eastAsia="zh-CN"/>
        </w:rPr>
        <w:t>体</w:t>
      </w:r>
      <w:r>
        <w:rPr>
          <w:rFonts w:hint="eastAsia" w:ascii="楷体_GB2312" w:hAnsi="楷体_GB2312" w:eastAsia="楷体_GB2312" w:cs="楷体_GB2312"/>
          <w:color w:val="auto"/>
          <w:spacing w:val="-3"/>
          <w:sz w:val="32"/>
          <w:szCs w:val="32"/>
          <w:lang w:eastAsia="zh-CN"/>
        </w:rPr>
        <w:t>局、市公安局、市民政局、市卫健局、市市场监管局、市妇联按职责分工负责）</w:t>
      </w:r>
    </w:p>
    <w:p>
      <w:pPr>
        <w:keepNext w:val="0"/>
        <w:keepLines w:val="0"/>
        <w:pageBreakBefore w:val="0"/>
        <w:widowControl w:val="0"/>
        <w:kinsoku/>
        <w:wordWrap/>
        <w:overflowPunct w:val="0"/>
        <w:topLinePunct/>
        <w:autoSpaceDE/>
        <w:autoSpaceDN/>
        <w:bidi w:val="0"/>
        <w:spacing w:line="580" w:lineRule="exact"/>
        <w:ind w:right="0" w:firstLine="640" w:firstLineChars="200"/>
        <w:jc w:val="both"/>
        <w:rPr>
          <w:rFonts w:hint="eastAsia" w:ascii="楷体_GB2312" w:hAnsi="楷体_GB2312" w:eastAsia="楷体_GB2312" w:cs="楷体_GB2312"/>
          <w:color w:val="auto"/>
          <w:spacing w:val="-3"/>
          <w:sz w:val="32"/>
          <w:szCs w:val="32"/>
          <w:lang w:eastAsia="zh-CN"/>
        </w:rPr>
      </w:pPr>
      <w:r>
        <w:rPr>
          <w:rFonts w:hint="eastAsia" w:ascii="仿宋_GB2312" w:hAnsi="仿宋_GB2312" w:eastAsia="仿宋_GB2312" w:cs="仿宋_GB2312"/>
          <w:snapToGrid/>
          <w:color w:val="auto"/>
          <w:kern w:val="2"/>
          <w:sz w:val="32"/>
          <w:szCs w:val="32"/>
          <w:lang w:val="en-US" w:eastAsia="zh-CN" w:bidi="ar-SA"/>
        </w:rPr>
        <w:t>5．增强防灾减灾能力。加强气象、洪涝、地震、地质灾害等防治。做好灾害风险隐患排查和群众性应急演练。持续提升灾害监测能力，拓展预警发布渠道。健全自然灾害防治信息通报与共享制度，提高灾害联防联控和协同响应能力。强化社区、学校、幼儿园、医院、车站、工厂等人员密集场所灾害防御，依托现有资源，健全全市突发事件紧急医学救援网络，提高突发灾害现场应急处置能力和水平。完善应急医疗技能实战训练，救援人员康复治理技能培训、移动医院和医疗救援战备储备等。有针对性对公众进行防灾减灾、突发事件应对知识和技能的传播及培训，提高自救和互救能力。</w:t>
      </w:r>
      <w:r>
        <w:rPr>
          <w:rFonts w:hint="eastAsia" w:ascii="楷体_GB2312" w:hAnsi="楷体_GB2312" w:eastAsia="楷体_GB2312" w:cs="楷体_GB2312"/>
          <w:color w:val="auto"/>
          <w:spacing w:val="-3"/>
          <w:sz w:val="32"/>
          <w:szCs w:val="32"/>
          <w:lang w:eastAsia="zh-CN"/>
        </w:rPr>
        <w:t>（市应急局牵头，市自然资源局、</w:t>
      </w:r>
      <w:r>
        <w:rPr>
          <w:rFonts w:hint="eastAsia" w:ascii="楷体_GB2312" w:hAnsi="楷体_GB2312" w:eastAsia="楷体_GB2312" w:cs="楷体_GB2312"/>
          <w:color w:val="auto"/>
          <w:spacing w:val="-3"/>
          <w:sz w:val="32"/>
          <w:szCs w:val="32"/>
          <w:lang w:val="en-US" w:eastAsia="zh-CN"/>
        </w:rPr>
        <w:t>市规划编制研究中心、</w:t>
      </w:r>
      <w:r>
        <w:rPr>
          <w:rFonts w:hint="eastAsia" w:ascii="楷体_GB2312" w:hAnsi="楷体_GB2312" w:eastAsia="楷体_GB2312" w:cs="楷体_GB2312"/>
          <w:color w:val="auto"/>
          <w:spacing w:val="-3"/>
          <w:sz w:val="32"/>
          <w:szCs w:val="32"/>
          <w:lang w:eastAsia="zh-CN"/>
        </w:rPr>
        <w:t>市住建局、市交通运输局、市城乡水务局、市卫健局、市气象局按职责分工负责）</w:t>
      </w:r>
    </w:p>
    <w:p>
      <w:pPr>
        <w:keepNext w:val="0"/>
        <w:keepLines w:val="0"/>
        <w:pageBreakBefore w:val="0"/>
        <w:widowControl w:val="0"/>
        <w:kinsoku/>
        <w:wordWrap/>
        <w:overflowPunct w:val="0"/>
        <w:topLinePunct/>
        <w:autoSpaceDE/>
        <w:autoSpaceDN/>
        <w:bidi w:val="0"/>
        <w:spacing w:line="580" w:lineRule="exact"/>
        <w:ind w:right="0" w:firstLine="640" w:firstLineChars="200"/>
        <w:jc w:val="both"/>
        <w:rPr>
          <w:rFonts w:hint="eastAsia" w:ascii="楷体_GB2312" w:hAnsi="楷体_GB2312" w:eastAsia="楷体_GB2312" w:cs="楷体_GB2312"/>
          <w:color w:val="auto"/>
          <w:spacing w:val="-3"/>
          <w:sz w:val="32"/>
          <w:szCs w:val="32"/>
          <w:lang w:eastAsia="zh-CN"/>
        </w:rPr>
      </w:pPr>
      <w:r>
        <w:rPr>
          <w:rFonts w:hint="eastAsia" w:ascii="仿宋_GB2312" w:hAnsi="仿宋_GB2312" w:eastAsia="仿宋_GB2312" w:cs="仿宋_GB2312"/>
          <w:snapToGrid/>
          <w:color w:val="auto"/>
          <w:kern w:val="2"/>
          <w:sz w:val="32"/>
          <w:szCs w:val="32"/>
          <w:lang w:val="en-US" w:eastAsia="zh-CN" w:bidi="ar-SA"/>
        </w:rPr>
        <w:t>6．强化农产品和食品药品安全监管。深入开展农产品“治违禁控药残促提升”三年行动，严格投入品管控，防范化解农产品安全风险隐患。落实《食品生产经营监督检查管理办法》，加强生产经营过程监管，加大抽检和违法惩处力度，压实企业主体责任。加大药品生产、经营企业日常监督检查力度，加强对医疗机构购进、储存药品的监管，严厉打击制售假劣药品、无证医疗器械违法行为，持续加强药品和医疗器械质量安全监测。</w:t>
      </w:r>
      <w:r>
        <w:rPr>
          <w:rFonts w:hint="eastAsia" w:ascii="楷体_GB2312" w:hAnsi="楷体_GB2312" w:eastAsia="楷体_GB2312" w:cs="楷体_GB2312"/>
          <w:color w:val="auto"/>
          <w:spacing w:val="-3"/>
          <w:sz w:val="32"/>
          <w:szCs w:val="32"/>
          <w:lang w:eastAsia="zh-CN"/>
        </w:rPr>
        <w:t>（市市场监管局、市农业</w:t>
      </w:r>
      <w:r>
        <w:rPr>
          <w:rFonts w:hint="eastAsia" w:ascii="楷体_GB2312" w:hAnsi="楷体_GB2312" w:eastAsia="楷体_GB2312" w:cs="楷体_GB2312"/>
          <w:color w:val="auto"/>
          <w:spacing w:val="-3"/>
          <w:sz w:val="32"/>
          <w:szCs w:val="32"/>
          <w:lang w:val="en-US" w:eastAsia="zh-CN"/>
        </w:rPr>
        <w:t>农村</w:t>
      </w:r>
      <w:r>
        <w:rPr>
          <w:rFonts w:hint="eastAsia" w:ascii="楷体_GB2312" w:hAnsi="楷体_GB2312" w:eastAsia="楷体_GB2312" w:cs="楷体_GB2312"/>
          <w:color w:val="auto"/>
          <w:spacing w:val="-3"/>
          <w:sz w:val="32"/>
          <w:szCs w:val="32"/>
          <w:lang w:eastAsia="zh-CN"/>
        </w:rPr>
        <w:t>局、市卫健局、市自然资源局、</w:t>
      </w:r>
      <w:r>
        <w:rPr>
          <w:rFonts w:hint="eastAsia" w:ascii="楷体_GB2312" w:hAnsi="楷体_GB2312" w:eastAsia="楷体_GB2312" w:cs="楷体_GB2312"/>
          <w:color w:val="auto"/>
          <w:spacing w:val="-3"/>
          <w:sz w:val="32"/>
          <w:szCs w:val="32"/>
          <w:lang w:val="en-US" w:eastAsia="zh-CN"/>
        </w:rPr>
        <w:t>市规划编制研究中心</w:t>
      </w:r>
      <w:r>
        <w:rPr>
          <w:rFonts w:hint="eastAsia" w:ascii="楷体_GB2312" w:hAnsi="楷体_GB2312" w:eastAsia="楷体_GB2312" w:cs="楷体_GB2312"/>
          <w:color w:val="auto"/>
          <w:spacing w:val="-3"/>
          <w:sz w:val="32"/>
          <w:szCs w:val="32"/>
          <w:lang w:eastAsia="zh-CN"/>
        </w:rPr>
        <w:t>按职责分工负责）</w:t>
      </w:r>
    </w:p>
    <w:p>
      <w:pPr>
        <w:keepNext w:val="0"/>
        <w:keepLines w:val="0"/>
        <w:pageBreakBefore w:val="0"/>
        <w:widowControl w:val="0"/>
        <w:kinsoku/>
        <w:wordWrap/>
        <w:overflowPunct w:val="0"/>
        <w:topLinePunct/>
        <w:autoSpaceDE/>
        <w:autoSpaceDN/>
        <w:bidi w:val="0"/>
        <w:spacing w:line="580" w:lineRule="exact"/>
        <w:ind w:right="0" w:firstLine="640" w:firstLineChars="200"/>
        <w:jc w:val="both"/>
        <w:rPr>
          <w:rFonts w:hint="eastAsia" w:ascii="楷体_GB2312" w:hAnsi="楷体_GB2312" w:eastAsia="楷体_GB2312" w:cs="楷体_GB2312"/>
          <w:color w:val="auto"/>
          <w:spacing w:val="-3"/>
          <w:sz w:val="32"/>
          <w:szCs w:val="32"/>
          <w:lang w:eastAsia="zh-CN"/>
        </w:rPr>
      </w:pPr>
      <w:r>
        <w:rPr>
          <w:rFonts w:hint="eastAsia" w:ascii="仿宋_GB2312" w:hAnsi="仿宋_GB2312" w:eastAsia="仿宋_GB2312" w:cs="仿宋_GB2312"/>
          <w:snapToGrid/>
          <w:color w:val="auto"/>
          <w:kern w:val="2"/>
          <w:sz w:val="32"/>
          <w:szCs w:val="32"/>
          <w:lang w:val="en-US" w:eastAsia="zh-CN" w:bidi="ar-SA"/>
        </w:rPr>
        <w:t>7．保障饮用水安全。全面开展城乡饮用水卫生监测，及时掌握全市饮用水水质基本状况，确保达到生活饮用水卫生标准。加强城乡供水一体化和农村供水规模化工程建设，推进农村供水工程提质改造。切实加强饮用水水源地、制水供水 （二次供水）、末梢水全过程监管，加大饮用水水源地环境隐患排查，供水设施、涉水产品监管安全巡查和卫生监督检查力度。定期监测、检测和评估饮用水水源、供水厂出水和用户水龙头水质等饮水安全状况。</w:t>
      </w:r>
      <w:r>
        <w:rPr>
          <w:rFonts w:hint="eastAsia" w:ascii="楷体_GB2312" w:hAnsi="楷体_GB2312" w:eastAsia="楷体_GB2312" w:cs="楷体_GB2312"/>
          <w:color w:val="auto"/>
          <w:spacing w:val="-3"/>
          <w:sz w:val="32"/>
          <w:szCs w:val="32"/>
          <w:lang w:eastAsia="zh-CN"/>
        </w:rPr>
        <w:t>（市住建局、市城乡水务局牵头，枣庄市生态环境局滕州分局、市卫健局按职责分工负责）</w:t>
      </w:r>
    </w:p>
    <w:p>
      <w:pPr>
        <w:keepNext w:val="0"/>
        <w:keepLines w:val="0"/>
        <w:pageBreakBefore w:val="0"/>
        <w:widowControl w:val="0"/>
        <w:kinsoku/>
        <w:wordWrap/>
        <w:overflowPunct w:val="0"/>
        <w:topLinePunct/>
        <w:autoSpaceDE/>
        <w:autoSpaceDN/>
        <w:bidi w:val="0"/>
        <w:spacing w:line="580" w:lineRule="exact"/>
        <w:ind w:right="0" w:firstLine="640" w:firstLineChars="200"/>
        <w:jc w:val="both"/>
        <w:rPr>
          <w:rFonts w:hint="eastAsia" w:ascii="楷体_GB2312" w:hAnsi="楷体_GB2312" w:eastAsia="楷体_GB2312" w:cs="楷体_GB2312"/>
          <w:color w:val="auto"/>
          <w:spacing w:val="-3"/>
          <w:sz w:val="32"/>
          <w:szCs w:val="32"/>
        </w:rPr>
      </w:pPr>
      <w:r>
        <w:rPr>
          <w:rFonts w:hint="eastAsia" w:ascii="仿宋_GB2312" w:hAnsi="仿宋_GB2312" w:eastAsia="仿宋_GB2312" w:cs="仿宋_GB2312"/>
          <w:snapToGrid/>
          <w:color w:val="auto"/>
          <w:kern w:val="2"/>
          <w:sz w:val="32"/>
          <w:szCs w:val="32"/>
          <w:lang w:val="en-US" w:eastAsia="zh-CN" w:bidi="ar-SA"/>
        </w:rPr>
        <w:t>8．强化空气和噪声污染治理。持续开展大气污染防治行动，强化工业企业无组织排放管控和重点行业污染治理升级改造。加强企业清洁生产审核，推进农村地区清洁取暖。加强环境空气质量监测，完善重污染天气预警应急的启动、响应机制，有效降低重污染天气影响。加强噪声污染治理，推动开展声环境功能区划分调整工作。强化生态环境与健康管理，减少空气、噪声等环境污染致残。</w:t>
      </w:r>
      <w:r>
        <w:rPr>
          <w:rFonts w:hint="eastAsia" w:ascii="楷体_GB2312" w:hAnsi="楷体_GB2312" w:eastAsia="楷体_GB2312" w:cs="楷体_GB2312"/>
          <w:color w:val="auto"/>
          <w:spacing w:val="-3"/>
          <w:sz w:val="32"/>
          <w:szCs w:val="32"/>
          <w:lang w:eastAsia="zh-CN"/>
        </w:rPr>
        <w:t>（枣庄市生态环境局滕州分局牵头，市自然资源局、</w:t>
      </w:r>
      <w:r>
        <w:rPr>
          <w:rFonts w:hint="eastAsia" w:ascii="楷体_GB2312" w:hAnsi="楷体_GB2312" w:eastAsia="楷体_GB2312" w:cs="楷体_GB2312"/>
          <w:color w:val="auto"/>
          <w:spacing w:val="-3"/>
          <w:sz w:val="32"/>
          <w:szCs w:val="32"/>
          <w:lang w:val="en-US" w:eastAsia="zh-CN"/>
        </w:rPr>
        <w:t>市规划编制研究中心、</w:t>
      </w:r>
      <w:r>
        <w:rPr>
          <w:rFonts w:hint="eastAsia" w:ascii="楷体_GB2312" w:hAnsi="楷体_GB2312" w:eastAsia="楷体_GB2312" w:cs="楷体_GB2312"/>
          <w:color w:val="auto"/>
          <w:spacing w:val="-3"/>
          <w:sz w:val="32"/>
          <w:szCs w:val="32"/>
          <w:lang w:eastAsia="zh-CN"/>
        </w:rPr>
        <w:t>市住建局、市卫健局按职责分工负责）</w:t>
      </w:r>
    </w:p>
    <w:p>
      <w:pPr>
        <w:keepNext w:val="0"/>
        <w:keepLines w:val="0"/>
        <w:pageBreakBefore w:val="0"/>
        <w:widowControl w:val="0"/>
        <w:kinsoku/>
        <w:wordWrap/>
        <w:overflowPunct w:val="0"/>
        <w:topLinePunct/>
        <w:autoSpaceDE/>
        <w:autoSpaceDN/>
        <w:bidi w:val="0"/>
        <w:adjustRightInd/>
        <w:snapToGrid/>
        <w:spacing w:line="580" w:lineRule="exact"/>
        <w:ind w:right="0" w:firstLine="628" w:firstLineChars="200"/>
        <w:jc w:val="both"/>
        <w:textAlignment w:val="auto"/>
        <w:rPr>
          <w:rFonts w:hint="eastAsia" w:ascii="楷体_GB2312" w:hAnsi="楷体_GB2312" w:eastAsia="楷体_GB2312" w:cs="楷体_GB2312"/>
          <w:color w:val="auto"/>
          <w:spacing w:val="-3"/>
          <w:sz w:val="32"/>
          <w:szCs w:val="32"/>
          <w:lang w:eastAsia="zh-CN"/>
        </w:rPr>
      </w:pPr>
      <w:r>
        <w:rPr>
          <w:rFonts w:hint="eastAsia" w:ascii="楷体_GB2312" w:hAnsi="楷体_GB2312" w:eastAsia="楷体_GB2312" w:cs="楷体_GB2312"/>
          <w:color w:val="auto"/>
          <w:spacing w:val="-3"/>
          <w:sz w:val="32"/>
          <w:szCs w:val="32"/>
          <w:lang w:eastAsia="zh-CN"/>
        </w:rPr>
        <w:t>（五）康复服务促进行动</w:t>
      </w:r>
    </w:p>
    <w:p>
      <w:pPr>
        <w:keepNext w:val="0"/>
        <w:keepLines w:val="0"/>
        <w:pageBreakBefore w:val="0"/>
        <w:widowControl w:val="0"/>
        <w:kinsoku/>
        <w:wordWrap/>
        <w:overflowPunct w:val="0"/>
        <w:topLinePunct/>
        <w:autoSpaceDE/>
        <w:autoSpaceDN/>
        <w:bidi w:val="0"/>
        <w:spacing w:line="580" w:lineRule="exact"/>
        <w:ind w:right="0" w:firstLine="640" w:firstLineChars="200"/>
        <w:jc w:val="both"/>
        <w:rPr>
          <w:rFonts w:hint="eastAsia" w:ascii="楷体_GB2312" w:hAnsi="楷体_GB2312" w:eastAsia="楷体_GB2312" w:cs="楷体_GB2312"/>
          <w:color w:val="auto"/>
          <w:spacing w:val="-3"/>
          <w:sz w:val="32"/>
          <w:szCs w:val="32"/>
          <w:lang w:eastAsia="zh-CN"/>
        </w:rPr>
      </w:pPr>
      <w:r>
        <w:rPr>
          <w:rFonts w:hint="eastAsia" w:ascii="仿宋_GB2312" w:hAnsi="仿宋_GB2312" w:eastAsia="仿宋_GB2312" w:cs="仿宋_GB2312"/>
          <w:snapToGrid/>
          <w:color w:val="auto"/>
          <w:kern w:val="2"/>
          <w:sz w:val="32"/>
          <w:szCs w:val="32"/>
          <w:lang w:val="en-US" w:eastAsia="zh-CN" w:bidi="ar-SA"/>
        </w:rPr>
        <w:t>1．加强康复医疗服务。严格执行康复医疗服务指南和技术规范，积极发展中医特色康复服务。健全完善三级康复医疗服务体系，提升康复医疗服务能力。加强康复医疗人才教育培养，鼓励有条件的院校设置康复治疗相关学科和专业，增加康复医疗专业人才供给。推动高等院校、医疗机构与残疾人康复服务机构交流合作。积极发展社区和居家康复医疗，鼓励有条件的医疗机构将康复医疗服务延伸至社区和家庭。</w:t>
      </w:r>
      <w:r>
        <w:rPr>
          <w:rFonts w:hint="eastAsia" w:ascii="楷体_GB2312" w:hAnsi="楷体_GB2312" w:eastAsia="楷体_GB2312" w:cs="楷体_GB2312"/>
          <w:color w:val="auto"/>
          <w:spacing w:val="-3"/>
          <w:sz w:val="32"/>
          <w:szCs w:val="32"/>
          <w:lang w:eastAsia="zh-CN"/>
        </w:rPr>
        <w:t>（市卫健局牵头，市发改</w:t>
      </w:r>
      <w:r>
        <w:rPr>
          <w:rFonts w:hint="eastAsia" w:ascii="楷体_GB2312" w:hAnsi="楷体_GB2312" w:eastAsia="楷体_GB2312" w:cs="楷体_GB2312"/>
          <w:color w:val="auto"/>
          <w:spacing w:val="-3"/>
          <w:sz w:val="32"/>
          <w:szCs w:val="32"/>
          <w:lang w:val="en-US" w:eastAsia="zh-CN"/>
        </w:rPr>
        <w:t>局</w:t>
      </w:r>
      <w:r>
        <w:rPr>
          <w:rFonts w:hint="eastAsia" w:ascii="楷体_GB2312" w:hAnsi="楷体_GB2312" w:eastAsia="楷体_GB2312" w:cs="楷体_GB2312"/>
          <w:color w:val="auto"/>
          <w:spacing w:val="-3"/>
          <w:sz w:val="32"/>
          <w:szCs w:val="32"/>
          <w:lang w:eastAsia="zh-CN"/>
        </w:rPr>
        <w:t>、市教体局、市残联按职责分工负责）</w:t>
      </w:r>
    </w:p>
    <w:p>
      <w:pPr>
        <w:keepNext w:val="0"/>
        <w:keepLines w:val="0"/>
        <w:pageBreakBefore w:val="0"/>
        <w:widowControl w:val="0"/>
        <w:kinsoku/>
        <w:wordWrap/>
        <w:overflowPunct w:val="0"/>
        <w:topLinePunct/>
        <w:autoSpaceDE/>
        <w:autoSpaceDN/>
        <w:bidi w:val="0"/>
        <w:spacing w:line="580" w:lineRule="exact"/>
        <w:ind w:right="0" w:firstLine="640" w:firstLineChars="200"/>
        <w:jc w:val="both"/>
        <w:rPr>
          <w:rFonts w:hint="eastAsia" w:ascii="楷体_GB2312" w:hAnsi="楷体_GB2312" w:eastAsia="楷体_GB2312" w:cs="楷体_GB2312"/>
          <w:color w:val="auto"/>
          <w:spacing w:val="-3"/>
          <w:sz w:val="32"/>
          <w:szCs w:val="32"/>
          <w:lang w:eastAsia="zh-CN"/>
        </w:rPr>
      </w:pPr>
      <w:r>
        <w:rPr>
          <w:rFonts w:hint="eastAsia" w:ascii="仿宋_GB2312" w:hAnsi="仿宋_GB2312" w:eastAsia="仿宋_GB2312" w:cs="仿宋_GB2312"/>
          <w:snapToGrid/>
          <w:color w:val="auto"/>
          <w:kern w:val="2"/>
          <w:sz w:val="32"/>
          <w:szCs w:val="32"/>
          <w:lang w:val="en-US" w:eastAsia="zh-CN" w:bidi="ar-SA"/>
        </w:rPr>
        <w:t>2．完善残疾儿童康复救助制度。落实残疾儿童康复救助制度，加强康复救助保障，增加康复服务供给，确保符合条件的残疾儿童得到及时有效安全的康复救助服务。加强康复机构规范化建设，实施残疾儿童定点康复机构规范提升工程，规范提升残疾儿童康复救助服务。推进儿童康复机构设立残疾儿童特教班（部）或学前班（部）工作，促进残疾儿童医康教融合发展。</w:t>
      </w:r>
      <w:r>
        <w:rPr>
          <w:rFonts w:hint="eastAsia" w:ascii="楷体_GB2312" w:hAnsi="楷体_GB2312" w:eastAsia="楷体_GB2312" w:cs="楷体_GB2312"/>
          <w:color w:val="auto"/>
          <w:spacing w:val="-3"/>
          <w:sz w:val="32"/>
          <w:szCs w:val="32"/>
          <w:lang w:eastAsia="zh-CN"/>
        </w:rPr>
        <w:t>（市残联牵头，</w:t>
      </w:r>
      <w:r>
        <w:rPr>
          <w:rFonts w:hint="eastAsia" w:ascii="楷体_GB2312" w:hAnsi="楷体_GB2312" w:eastAsia="楷体_GB2312" w:cs="楷体_GB2312"/>
          <w:color w:val="auto"/>
          <w:spacing w:val="-3"/>
          <w:sz w:val="32"/>
          <w:szCs w:val="32"/>
          <w:lang w:val="en-US" w:eastAsia="zh-CN"/>
        </w:rPr>
        <w:t>市发改局、</w:t>
      </w:r>
      <w:r>
        <w:rPr>
          <w:rFonts w:hint="eastAsia" w:ascii="楷体_GB2312" w:hAnsi="楷体_GB2312" w:eastAsia="楷体_GB2312" w:cs="楷体_GB2312"/>
          <w:color w:val="auto"/>
          <w:spacing w:val="-3"/>
          <w:sz w:val="32"/>
          <w:szCs w:val="32"/>
          <w:lang w:eastAsia="zh-CN"/>
        </w:rPr>
        <w:t>市</w:t>
      </w:r>
      <w:r>
        <w:rPr>
          <w:rFonts w:hint="eastAsia" w:ascii="楷体_GB2312" w:hAnsi="楷体_GB2312" w:eastAsia="楷体_GB2312" w:cs="楷体_GB2312"/>
          <w:color w:val="auto"/>
          <w:spacing w:val="-3"/>
          <w:sz w:val="32"/>
          <w:szCs w:val="32"/>
          <w:lang w:val="en-US" w:eastAsia="zh-CN"/>
        </w:rPr>
        <w:t>医保局</w:t>
      </w:r>
      <w:r>
        <w:rPr>
          <w:rFonts w:hint="eastAsia" w:ascii="楷体_GB2312" w:hAnsi="楷体_GB2312" w:eastAsia="楷体_GB2312" w:cs="楷体_GB2312"/>
          <w:color w:val="auto"/>
          <w:spacing w:val="-3"/>
          <w:sz w:val="32"/>
          <w:szCs w:val="32"/>
          <w:lang w:eastAsia="zh-CN"/>
        </w:rPr>
        <w:t>、市财政局、市教体局、市民政局、市卫健局按职责分工负责）</w:t>
      </w:r>
    </w:p>
    <w:p>
      <w:pPr>
        <w:keepNext w:val="0"/>
        <w:keepLines w:val="0"/>
        <w:pageBreakBefore w:val="0"/>
        <w:widowControl w:val="0"/>
        <w:kinsoku/>
        <w:wordWrap/>
        <w:overflowPunct w:val="0"/>
        <w:topLinePunct/>
        <w:autoSpaceDE/>
        <w:autoSpaceDN/>
        <w:bidi w:val="0"/>
        <w:spacing w:line="580" w:lineRule="exact"/>
        <w:ind w:right="0" w:firstLine="640" w:firstLineChars="200"/>
        <w:jc w:val="both"/>
        <w:rPr>
          <w:rFonts w:hint="eastAsia" w:ascii="楷体_GB2312" w:hAnsi="楷体_GB2312" w:eastAsia="楷体_GB2312" w:cs="楷体_GB2312"/>
          <w:color w:val="auto"/>
          <w:spacing w:val="-3"/>
          <w:sz w:val="32"/>
          <w:szCs w:val="32"/>
          <w:lang w:eastAsia="zh-CN"/>
        </w:rPr>
      </w:pPr>
      <w:r>
        <w:rPr>
          <w:rFonts w:hint="eastAsia" w:ascii="仿宋_GB2312" w:hAnsi="仿宋_GB2312" w:eastAsia="仿宋_GB2312" w:cs="仿宋_GB2312"/>
          <w:snapToGrid/>
          <w:color w:val="auto"/>
          <w:kern w:val="2"/>
          <w:sz w:val="32"/>
          <w:szCs w:val="32"/>
          <w:lang w:val="en-US" w:eastAsia="zh-CN" w:bidi="ar-SA"/>
        </w:rPr>
        <w:t>3．提升残疾人康复服务质量。落实政府基本公共服务责任， 开展残疾人基本需求与服务状况调查，持续组织实施残疾人精准康复服务行动，为有需求的持证残疾人提供康复医疗、康复训练、康复辅具适配等基本康复服务。加强农村及偏远地区社区康复服务平台建设，推荐“互联网+康复服务”。推动出台残疾人基本型辅助器具适配办法，探索辅具租赁租借规范化路径。</w:t>
      </w:r>
      <w:r>
        <w:rPr>
          <w:rFonts w:hint="eastAsia" w:ascii="楷体_GB2312" w:hAnsi="楷体_GB2312" w:eastAsia="楷体_GB2312" w:cs="楷体_GB2312"/>
          <w:color w:val="auto"/>
          <w:spacing w:val="-3"/>
          <w:sz w:val="32"/>
          <w:szCs w:val="32"/>
          <w:lang w:eastAsia="zh-CN"/>
        </w:rPr>
        <w:t>（市残联牵头，市发改</w:t>
      </w:r>
      <w:r>
        <w:rPr>
          <w:rFonts w:hint="eastAsia" w:ascii="楷体_GB2312" w:hAnsi="楷体_GB2312" w:eastAsia="楷体_GB2312" w:cs="楷体_GB2312"/>
          <w:color w:val="auto"/>
          <w:spacing w:val="-3"/>
          <w:sz w:val="32"/>
          <w:szCs w:val="32"/>
          <w:lang w:val="en-US" w:eastAsia="zh-CN"/>
        </w:rPr>
        <w:t>局</w:t>
      </w:r>
      <w:r>
        <w:rPr>
          <w:rFonts w:hint="eastAsia" w:ascii="楷体_GB2312" w:hAnsi="楷体_GB2312" w:eastAsia="楷体_GB2312" w:cs="楷体_GB2312"/>
          <w:color w:val="auto"/>
          <w:spacing w:val="-3"/>
          <w:sz w:val="32"/>
          <w:szCs w:val="32"/>
          <w:lang w:eastAsia="zh-CN"/>
        </w:rPr>
        <w:t>、市财政局、市教体局、市民政局、市卫健局按职责分工负责）</w:t>
      </w:r>
    </w:p>
    <w:p>
      <w:pPr>
        <w:keepNext w:val="0"/>
        <w:keepLines w:val="0"/>
        <w:pageBreakBefore w:val="0"/>
        <w:widowControl w:val="0"/>
        <w:kinsoku/>
        <w:wordWrap/>
        <w:overflowPunct w:val="0"/>
        <w:topLinePunct/>
        <w:autoSpaceDE/>
        <w:autoSpaceDN/>
        <w:bidi w:val="0"/>
        <w:spacing w:line="580" w:lineRule="exact"/>
        <w:ind w:right="0" w:firstLine="640" w:firstLineChars="200"/>
        <w:jc w:val="both"/>
        <w:rPr>
          <w:rFonts w:hint="eastAsia" w:ascii="楷体_GB2312" w:hAnsi="楷体_GB2312" w:eastAsia="楷体_GB2312" w:cs="楷体_GB2312"/>
          <w:color w:val="auto"/>
          <w:spacing w:val="-3"/>
          <w:sz w:val="32"/>
          <w:szCs w:val="32"/>
          <w:lang w:eastAsia="zh-CN"/>
        </w:rPr>
      </w:pPr>
      <w:r>
        <w:rPr>
          <w:rFonts w:hint="eastAsia" w:ascii="仿宋_GB2312" w:hAnsi="仿宋_GB2312" w:eastAsia="仿宋_GB2312" w:cs="仿宋_GB2312"/>
          <w:snapToGrid/>
          <w:color w:val="auto"/>
          <w:kern w:val="2"/>
          <w:sz w:val="32"/>
          <w:szCs w:val="32"/>
          <w:lang w:val="en-US" w:eastAsia="zh-CN" w:bidi="ar-SA"/>
        </w:rPr>
        <w:t>4．加强长期照护服务。完善居家、社区、机构相衔接的专业化长期照护服务体系，建立健全困难重度残疾人照护服务保障体系，探索“医养”结合一体化照护服务，改善服务质量。加强照护技能培训，提升精神、智力和重度残疾人及失能老人照护服务水平。深入推进老年安康关爱工作。做好残疾人托养照护与残疾人两项补贴政策有效衔接，推进长期护理保险制度试点。</w:t>
      </w:r>
      <w:r>
        <w:rPr>
          <w:rFonts w:hint="eastAsia" w:ascii="楷体_GB2312" w:hAnsi="楷体_GB2312" w:eastAsia="楷体_GB2312" w:cs="楷体_GB2312"/>
          <w:color w:val="auto"/>
          <w:spacing w:val="-3"/>
          <w:sz w:val="32"/>
          <w:szCs w:val="32"/>
          <w:lang w:eastAsia="zh-CN"/>
        </w:rPr>
        <w:t>（市民政局、市卫健局、市市场监管局、市医保局、市残联按职责分工负责）</w:t>
      </w:r>
    </w:p>
    <w:p>
      <w:pPr>
        <w:keepNext w:val="0"/>
        <w:keepLines w:val="0"/>
        <w:pageBreakBefore w:val="0"/>
        <w:widowControl w:val="0"/>
        <w:kinsoku/>
        <w:wordWrap/>
        <w:overflowPunct w:val="0"/>
        <w:topLinePunct/>
        <w:autoSpaceDE/>
        <w:autoSpaceDN/>
        <w:bidi w:val="0"/>
        <w:spacing w:line="580" w:lineRule="exact"/>
        <w:ind w:right="0" w:firstLine="640" w:firstLineChars="200"/>
        <w:jc w:val="both"/>
        <w:rPr>
          <w:rFonts w:hint="eastAsia" w:ascii="楷体_GB2312" w:hAnsi="楷体_GB2312" w:eastAsia="楷体_GB2312" w:cs="楷体_GB2312"/>
          <w:color w:val="auto"/>
          <w:spacing w:val="-3"/>
          <w:sz w:val="32"/>
          <w:szCs w:val="32"/>
          <w:lang w:eastAsia="zh-CN"/>
        </w:rPr>
      </w:pPr>
      <w:r>
        <w:rPr>
          <w:rFonts w:hint="eastAsia" w:ascii="仿宋_GB2312" w:hAnsi="仿宋_GB2312" w:eastAsia="仿宋_GB2312" w:cs="仿宋_GB2312"/>
          <w:snapToGrid/>
          <w:color w:val="auto"/>
          <w:kern w:val="2"/>
          <w:sz w:val="32"/>
          <w:szCs w:val="32"/>
          <w:lang w:val="en-US" w:eastAsia="zh-CN" w:bidi="ar-SA"/>
        </w:rPr>
        <w:t>5．全面推进无障碍环境建设。落实《山东省无障碍环境建设办法》，提高无障碍设施规划建设水平。加快发展信息无障碍，提升无障碍服务水平。持续推动城市道路、公共交通、居住社区、公共服务设施和残疾人服务设施等加快无障碍建设和改造。提高残疾人家庭无障碍改造水平，与辅助器具适配做好有效衔接。加强无障碍监督，保障残疾人出行便利和通行安全。加强学校无障碍设施设备建设配备，为残疾学生在校学习生活提供无障碍支持服务。</w:t>
      </w:r>
      <w:r>
        <w:rPr>
          <w:rFonts w:hint="eastAsia" w:ascii="楷体_GB2312" w:hAnsi="楷体_GB2312" w:eastAsia="楷体_GB2312" w:cs="楷体_GB2312"/>
          <w:color w:val="auto"/>
          <w:spacing w:val="-3"/>
          <w:sz w:val="32"/>
          <w:szCs w:val="32"/>
          <w:lang w:eastAsia="zh-CN"/>
        </w:rPr>
        <w:t>（市住建局牵头，市工信局、</w:t>
      </w:r>
      <w:r>
        <w:rPr>
          <w:rFonts w:hint="eastAsia" w:ascii="楷体_GB2312" w:hAnsi="楷体_GB2312" w:eastAsia="楷体_GB2312" w:cs="楷体_GB2312"/>
          <w:color w:val="auto"/>
          <w:spacing w:val="-3"/>
          <w:sz w:val="32"/>
          <w:szCs w:val="32"/>
          <w:lang w:val="en-US" w:eastAsia="zh-CN"/>
        </w:rPr>
        <w:t>市教体局、市综合执法局、</w:t>
      </w:r>
      <w:r>
        <w:rPr>
          <w:rFonts w:hint="eastAsia" w:ascii="楷体_GB2312" w:hAnsi="楷体_GB2312" w:eastAsia="楷体_GB2312" w:cs="楷体_GB2312"/>
          <w:color w:val="auto"/>
          <w:spacing w:val="-3"/>
          <w:sz w:val="32"/>
          <w:szCs w:val="32"/>
          <w:lang w:eastAsia="zh-CN"/>
        </w:rPr>
        <w:t>市交通运输局、市文旅局、</w:t>
      </w:r>
      <w:r>
        <w:rPr>
          <w:rFonts w:hint="eastAsia" w:ascii="楷体_GB2312" w:hAnsi="楷体_GB2312" w:eastAsia="楷体_GB2312" w:cs="楷体_GB2312"/>
          <w:color w:val="auto"/>
          <w:spacing w:val="-3"/>
          <w:sz w:val="32"/>
          <w:szCs w:val="32"/>
          <w:lang w:val="en-US" w:eastAsia="zh-CN"/>
        </w:rPr>
        <w:t>市融媒体中心、</w:t>
      </w:r>
      <w:r>
        <w:rPr>
          <w:rFonts w:hint="eastAsia" w:ascii="楷体_GB2312" w:hAnsi="楷体_GB2312" w:eastAsia="楷体_GB2312" w:cs="楷体_GB2312"/>
          <w:color w:val="auto"/>
          <w:spacing w:val="-3"/>
          <w:sz w:val="32"/>
          <w:szCs w:val="32"/>
          <w:lang w:eastAsia="zh-CN"/>
        </w:rPr>
        <w:t>市大数据</w:t>
      </w:r>
      <w:r>
        <w:rPr>
          <w:rFonts w:hint="eastAsia" w:ascii="楷体_GB2312" w:hAnsi="楷体_GB2312" w:eastAsia="楷体_GB2312" w:cs="楷体_GB2312"/>
          <w:color w:val="auto"/>
          <w:spacing w:val="-3"/>
          <w:sz w:val="32"/>
          <w:szCs w:val="32"/>
          <w:lang w:val="en-US" w:eastAsia="zh-CN"/>
        </w:rPr>
        <w:t>中心</w:t>
      </w:r>
      <w:r>
        <w:rPr>
          <w:rFonts w:hint="eastAsia" w:ascii="楷体_GB2312" w:hAnsi="楷体_GB2312" w:eastAsia="楷体_GB2312" w:cs="楷体_GB2312"/>
          <w:color w:val="auto"/>
          <w:spacing w:val="-3"/>
          <w:sz w:val="32"/>
          <w:szCs w:val="32"/>
          <w:lang w:eastAsia="zh-CN"/>
        </w:rPr>
        <w:t>、市残联按职责分工负责）</w:t>
      </w:r>
    </w:p>
    <w:p>
      <w:pPr>
        <w:keepNext w:val="0"/>
        <w:keepLines w:val="0"/>
        <w:pageBreakBefore w:val="0"/>
        <w:widowControl w:val="0"/>
        <w:kinsoku/>
        <w:wordWrap/>
        <w:overflowPunct w:val="0"/>
        <w:topLinePunct/>
        <w:autoSpaceDE/>
        <w:autoSpaceDN/>
        <w:bidi w:val="0"/>
        <w:spacing w:line="580" w:lineRule="exact"/>
        <w:ind w:left="0" w:right="0" w:firstLine="616" w:firstLineChars="200"/>
        <w:jc w:val="both"/>
        <w:rPr>
          <w:rFonts w:ascii="黑体" w:hAnsi="黑体" w:eastAsia="黑体" w:cs="黑体"/>
          <w:color w:val="auto"/>
          <w:sz w:val="32"/>
          <w:szCs w:val="32"/>
        </w:rPr>
      </w:pPr>
      <w:r>
        <w:rPr>
          <w:rFonts w:ascii="黑体" w:hAnsi="黑体" w:eastAsia="黑体" w:cs="黑体"/>
          <w:color w:val="auto"/>
          <w:spacing w:val="-6"/>
          <w:sz w:val="32"/>
          <w:szCs w:val="32"/>
        </w:rPr>
        <w:t>三</w:t>
      </w:r>
      <w:r>
        <w:rPr>
          <w:rFonts w:ascii="黑体" w:hAnsi="黑体" w:eastAsia="黑体" w:cs="黑体"/>
          <w:color w:val="auto"/>
          <w:spacing w:val="-4"/>
          <w:sz w:val="32"/>
          <w:szCs w:val="32"/>
        </w:rPr>
        <w:t>、</w:t>
      </w:r>
      <w:r>
        <w:rPr>
          <w:rFonts w:ascii="黑体" w:hAnsi="黑体" w:eastAsia="黑体" w:cs="黑体"/>
          <w:color w:val="auto"/>
          <w:spacing w:val="-3"/>
          <w:sz w:val="32"/>
          <w:szCs w:val="32"/>
        </w:rPr>
        <w:t>保障措施</w:t>
      </w:r>
    </w:p>
    <w:p>
      <w:pPr>
        <w:keepNext w:val="0"/>
        <w:keepLines w:val="0"/>
        <w:pageBreakBefore w:val="0"/>
        <w:widowControl w:val="0"/>
        <w:kinsoku/>
        <w:wordWrap/>
        <w:overflowPunct w:val="0"/>
        <w:topLinePunct/>
        <w:autoSpaceDE/>
        <w:autoSpaceDN/>
        <w:bidi w:val="0"/>
        <w:spacing w:line="580" w:lineRule="exact"/>
        <w:ind w:right="0" w:firstLine="628" w:firstLineChars="200"/>
        <w:jc w:val="both"/>
        <w:rPr>
          <w:rFonts w:hint="eastAsia" w:ascii="楷体_GB2312" w:hAnsi="楷体_GB2312" w:eastAsia="楷体_GB2312" w:cs="楷体_GB2312"/>
          <w:color w:val="auto"/>
          <w:spacing w:val="-3"/>
          <w:sz w:val="32"/>
          <w:szCs w:val="32"/>
          <w:lang w:eastAsia="zh-CN"/>
        </w:rPr>
      </w:pPr>
      <w:r>
        <w:rPr>
          <w:rFonts w:hint="eastAsia" w:ascii="楷体" w:hAnsi="楷体" w:eastAsia="楷体" w:cs="楷体"/>
          <w:color w:val="auto"/>
          <w:spacing w:val="-3"/>
          <w:sz w:val="32"/>
          <w:szCs w:val="32"/>
          <w:lang w:eastAsia="zh-CN"/>
        </w:rPr>
        <w:t>（</w:t>
      </w:r>
      <w:r>
        <w:rPr>
          <w:rFonts w:ascii="楷体" w:hAnsi="楷体" w:eastAsia="楷体" w:cs="楷体"/>
          <w:color w:val="auto"/>
          <w:spacing w:val="-3"/>
          <w:sz w:val="32"/>
          <w:szCs w:val="32"/>
        </w:rPr>
        <w:t>一</w:t>
      </w:r>
      <w:r>
        <w:rPr>
          <w:rFonts w:hint="eastAsia" w:ascii="楷体" w:hAnsi="楷体" w:eastAsia="楷体" w:cs="楷体"/>
          <w:color w:val="auto"/>
          <w:spacing w:val="-3"/>
          <w:sz w:val="32"/>
          <w:szCs w:val="32"/>
          <w:lang w:eastAsia="zh-CN"/>
        </w:rPr>
        <w:t>）强化</w:t>
      </w:r>
      <w:r>
        <w:rPr>
          <w:rFonts w:ascii="楷体" w:hAnsi="楷体" w:eastAsia="楷体" w:cs="楷体"/>
          <w:color w:val="auto"/>
          <w:spacing w:val="-3"/>
          <w:sz w:val="32"/>
          <w:szCs w:val="32"/>
        </w:rPr>
        <w:t>组织领导。</w:t>
      </w:r>
      <w:r>
        <w:rPr>
          <w:rFonts w:hint="eastAsia" w:ascii="仿宋_GB2312" w:hAnsi="仿宋_GB2312" w:eastAsia="仿宋_GB2312" w:cs="仿宋_GB2312"/>
          <w:snapToGrid/>
          <w:color w:val="auto"/>
          <w:kern w:val="2"/>
          <w:sz w:val="32"/>
          <w:szCs w:val="32"/>
          <w:lang w:val="en-US" w:eastAsia="zh-CN" w:bidi="ar-SA"/>
        </w:rPr>
        <w:t>市政府残疾人工作委员会建立市级残疾预防工作协调机制，加强部门沟通协调。各有关单位按照职责分工，做好相关任务指标的调度收集和年度监测，组织开展中期及终期评估。各镇街负责统筹实施本辖区内工作，定期调度研究解决重大问题，确保按期实现各项任务目标。</w:t>
      </w:r>
      <w:r>
        <w:rPr>
          <w:rFonts w:hint="eastAsia" w:ascii="楷体_GB2312" w:hAnsi="楷体_GB2312" w:eastAsia="楷体_GB2312" w:cs="楷体_GB2312"/>
          <w:color w:val="auto"/>
          <w:spacing w:val="-3"/>
          <w:sz w:val="32"/>
          <w:szCs w:val="32"/>
          <w:lang w:eastAsia="zh-CN"/>
        </w:rPr>
        <w:t>（</w:t>
      </w:r>
      <w:r>
        <w:rPr>
          <w:rFonts w:hint="eastAsia" w:ascii="楷体_GB2312" w:hAnsi="楷体_GB2312" w:eastAsia="楷体_GB2312" w:cs="楷体_GB2312"/>
          <w:color w:val="auto"/>
          <w:spacing w:val="-3"/>
          <w:sz w:val="32"/>
          <w:szCs w:val="32"/>
        </w:rPr>
        <w:t>各</w:t>
      </w:r>
      <w:r>
        <w:rPr>
          <w:rFonts w:hint="eastAsia" w:ascii="楷体_GB2312" w:hAnsi="楷体_GB2312" w:eastAsia="楷体_GB2312" w:cs="楷体_GB2312"/>
          <w:color w:val="auto"/>
          <w:spacing w:val="-3"/>
          <w:sz w:val="32"/>
          <w:szCs w:val="32"/>
          <w:lang w:val="en-US" w:eastAsia="zh-CN"/>
        </w:rPr>
        <w:t>镇街</w:t>
      </w:r>
      <w:r>
        <w:rPr>
          <w:rFonts w:hint="eastAsia" w:ascii="楷体_GB2312" w:hAnsi="楷体_GB2312" w:eastAsia="楷体_GB2312" w:cs="楷体_GB2312"/>
          <w:color w:val="auto"/>
          <w:spacing w:val="-3"/>
          <w:sz w:val="32"/>
          <w:szCs w:val="32"/>
        </w:rPr>
        <w:t>、</w:t>
      </w:r>
      <w:r>
        <w:rPr>
          <w:rFonts w:hint="eastAsia" w:ascii="楷体_GB2312" w:hAnsi="楷体_GB2312" w:eastAsia="楷体_GB2312" w:cs="楷体_GB2312"/>
          <w:color w:val="auto"/>
          <w:spacing w:val="-3"/>
          <w:sz w:val="32"/>
          <w:szCs w:val="32"/>
          <w:lang w:val="en-US" w:eastAsia="zh-CN"/>
        </w:rPr>
        <w:t>市直</w:t>
      </w:r>
      <w:r>
        <w:rPr>
          <w:rFonts w:hint="eastAsia" w:ascii="楷体_GB2312" w:hAnsi="楷体_GB2312" w:eastAsia="楷体_GB2312" w:cs="楷体_GB2312"/>
          <w:color w:val="auto"/>
          <w:spacing w:val="-3"/>
          <w:sz w:val="32"/>
          <w:szCs w:val="32"/>
        </w:rPr>
        <w:t>有关单位按职责分工负责</w:t>
      </w:r>
      <w:r>
        <w:rPr>
          <w:rFonts w:hint="eastAsia" w:ascii="楷体_GB2312" w:hAnsi="楷体_GB2312" w:eastAsia="楷体_GB2312" w:cs="楷体_GB2312"/>
          <w:color w:val="auto"/>
          <w:spacing w:val="-3"/>
          <w:sz w:val="32"/>
          <w:szCs w:val="32"/>
          <w:lang w:eastAsia="zh-CN"/>
        </w:rPr>
        <w:t>）</w:t>
      </w:r>
    </w:p>
    <w:p>
      <w:pPr>
        <w:keepNext w:val="0"/>
        <w:keepLines w:val="0"/>
        <w:pageBreakBefore w:val="0"/>
        <w:widowControl w:val="0"/>
        <w:kinsoku/>
        <w:wordWrap/>
        <w:overflowPunct w:val="0"/>
        <w:topLinePunct/>
        <w:autoSpaceDE/>
        <w:autoSpaceDN/>
        <w:bidi w:val="0"/>
        <w:spacing w:line="580" w:lineRule="exact"/>
        <w:ind w:right="0" w:firstLine="700" w:firstLineChars="200"/>
        <w:jc w:val="both"/>
        <w:rPr>
          <w:rFonts w:hint="eastAsia" w:ascii="楷体_GB2312" w:hAnsi="楷体_GB2312" w:eastAsia="楷体_GB2312" w:cs="楷体_GB2312"/>
          <w:color w:val="auto"/>
          <w:spacing w:val="-3"/>
          <w:sz w:val="32"/>
          <w:szCs w:val="32"/>
          <w:lang w:eastAsia="zh-CN"/>
        </w:rPr>
      </w:pPr>
      <w:r>
        <w:rPr>
          <w:rFonts w:hint="eastAsia" w:ascii="楷体" w:hAnsi="楷体" w:eastAsia="楷体" w:cs="楷体"/>
          <w:color w:val="auto"/>
          <w:spacing w:val="15"/>
          <w:sz w:val="32"/>
          <w:szCs w:val="32"/>
          <w:lang w:eastAsia="zh-CN"/>
        </w:rPr>
        <w:t>（</w:t>
      </w:r>
      <w:r>
        <w:rPr>
          <w:rFonts w:ascii="楷体" w:hAnsi="楷体" w:eastAsia="楷体" w:cs="楷体"/>
          <w:color w:val="auto"/>
          <w:spacing w:val="8"/>
          <w:sz w:val="32"/>
          <w:szCs w:val="32"/>
        </w:rPr>
        <w:t>二</w:t>
      </w:r>
      <w:r>
        <w:rPr>
          <w:rFonts w:hint="eastAsia" w:ascii="楷体" w:hAnsi="楷体" w:eastAsia="楷体" w:cs="楷体"/>
          <w:color w:val="auto"/>
          <w:spacing w:val="8"/>
          <w:sz w:val="32"/>
          <w:szCs w:val="32"/>
          <w:lang w:eastAsia="zh-CN"/>
        </w:rPr>
        <w:t>）</w:t>
      </w:r>
      <w:r>
        <w:rPr>
          <w:rFonts w:hint="eastAsia" w:ascii="楷体" w:hAnsi="楷体" w:eastAsia="楷体" w:cs="楷体"/>
          <w:color w:val="auto"/>
          <w:spacing w:val="8"/>
          <w:sz w:val="32"/>
          <w:szCs w:val="32"/>
          <w:lang w:val="en-US" w:eastAsia="zh-CN"/>
        </w:rPr>
        <w:t>强化技术支撑</w:t>
      </w:r>
      <w:r>
        <w:rPr>
          <w:rFonts w:ascii="楷体" w:hAnsi="楷体" w:eastAsia="楷体" w:cs="楷体"/>
          <w:color w:val="auto"/>
          <w:spacing w:val="8"/>
          <w:sz w:val="32"/>
          <w:szCs w:val="32"/>
        </w:rPr>
        <w:t>。</w:t>
      </w:r>
      <w:r>
        <w:rPr>
          <w:rFonts w:hint="eastAsia" w:ascii="仿宋_GB2312" w:hAnsi="仿宋_GB2312" w:eastAsia="仿宋_GB2312" w:cs="仿宋_GB2312"/>
          <w:snapToGrid/>
          <w:color w:val="auto"/>
          <w:kern w:val="2"/>
          <w:sz w:val="32"/>
          <w:szCs w:val="32"/>
          <w:lang w:val="en-US" w:eastAsia="zh-CN" w:bidi="ar-SA"/>
        </w:rPr>
        <w:t>建立市残联预防专家咨询委员会，提高残疾预防决策水平。加强残疾预防人才队伍建设，健全市、镇（街）、村（社区）三级残疾预防服务网络。推动《山东省残疾预防和残疾人康复条例》落实落细，推进全市残疾预防、“十四五”早期干预试点深化提升。</w:t>
      </w:r>
      <w:r>
        <w:rPr>
          <w:rFonts w:hint="eastAsia" w:ascii="楷体_GB2312" w:hAnsi="楷体_GB2312" w:eastAsia="楷体_GB2312" w:cs="楷体_GB2312"/>
          <w:color w:val="auto"/>
          <w:spacing w:val="-3"/>
          <w:sz w:val="32"/>
          <w:szCs w:val="32"/>
          <w:lang w:eastAsia="zh-CN"/>
        </w:rPr>
        <w:t>（</w:t>
      </w:r>
      <w:r>
        <w:rPr>
          <w:rFonts w:hint="eastAsia" w:ascii="楷体_GB2312" w:hAnsi="楷体_GB2312" w:eastAsia="楷体_GB2312" w:cs="楷体_GB2312"/>
          <w:color w:val="auto"/>
          <w:spacing w:val="-3"/>
          <w:sz w:val="32"/>
          <w:szCs w:val="32"/>
          <w:lang w:val="en-US" w:eastAsia="zh-CN"/>
        </w:rPr>
        <w:t>各镇街</w:t>
      </w:r>
      <w:r>
        <w:rPr>
          <w:rFonts w:hint="eastAsia" w:ascii="楷体_GB2312" w:hAnsi="楷体_GB2312" w:eastAsia="楷体_GB2312" w:cs="楷体_GB2312"/>
          <w:color w:val="auto"/>
          <w:spacing w:val="-3"/>
          <w:sz w:val="32"/>
          <w:szCs w:val="32"/>
        </w:rPr>
        <w:t>、</w:t>
      </w:r>
      <w:r>
        <w:rPr>
          <w:rFonts w:hint="eastAsia" w:ascii="楷体_GB2312" w:hAnsi="楷体_GB2312" w:eastAsia="楷体_GB2312" w:cs="楷体_GB2312"/>
          <w:color w:val="auto"/>
          <w:spacing w:val="-3"/>
          <w:sz w:val="32"/>
          <w:szCs w:val="32"/>
          <w:lang w:val="en-US" w:eastAsia="zh-CN"/>
        </w:rPr>
        <w:t>市直</w:t>
      </w:r>
      <w:r>
        <w:rPr>
          <w:rFonts w:hint="eastAsia" w:ascii="楷体_GB2312" w:hAnsi="楷体_GB2312" w:eastAsia="楷体_GB2312" w:cs="楷体_GB2312"/>
          <w:color w:val="auto"/>
          <w:spacing w:val="-3"/>
          <w:sz w:val="32"/>
          <w:szCs w:val="32"/>
        </w:rPr>
        <w:t>有关单位按职责分工负责</w:t>
      </w:r>
      <w:r>
        <w:rPr>
          <w:rFonts w:hint="eastAsia" w:ascii="楷体_GB2312" w:hAnsi="楷体_GB2312" w:eastAsia="楷体_GB2312" w:cs="楷体_GB2312"/>
          <w:color w:val="auto"/>
          <w:spacing w:val="-3"/>
          <w:sz w:val="32"/>
          <w:szCs w:val="32"/>
          <w:lang w:eastAsia="zh-CN"/>
        </w:rPr>
        <w:t>）</w:t>
      </w:r>
    </w:p>
    <w:p>
      <w:pPr>
        <w:keepNext w:val="0"/>
        <w:keepLines w:val="0"/>
        <w:pageBreakBefore w:val="0"/>
        <w:widowControl w:val="0"/>
        <w:kinsoku/>
        <w:wordWrap/>
        <w:overflowPunct w:val="0"/>
        <w:topLinePunct/>
        <w:autoSpaceDE/>
        <w:autoSpaceDN/>
        <w:bidi w:val="0"/>
        <w:spacing w:line="580" w:lineRule="exact"/>
        <w:ind w:right="0" w:firstLine="700" w:firstLineChars="200"/>
        <w:jc w:val="both"/>
        <w:rPr>
          <w:rFonts w:hint="eastAsia" w:ascii="楷体_GB2312" w:hAnsi="楷体_GB2312" w:eastAsia="楷体_GB2312" w:cs="楷体_GB2312"/>
          <w:color w:val="auto"/>
          <w:spacing w:val="-3"/>
          <w:sz w:val="32"/>
          <w:szCs w:val="32"/>
          <w:lang w:eastAsia="zh-CN"/>
        </w:rPr>
      </w:pPr>
      <w:r>
        <w:rPr>
          <w:rFonts w:hint="eastAsia" w:ascii="楷体" w:hAnsi="楷体" w:eastAsia="楷体" w:cs="楷体"/>
          <w:color w:val="auto"/>
          <w:spacing w:val="15"/>
          <w:sz w:val="32"/>
          <w:szCs w:val="32"/>
          <w:lang w:eastAsia="zh-CN"/>
        </w:rPr>
        <w:t>（</w:t>
      </w:r>
      <w:r>
        <w:rPr>
          <w:rFonts w:ascii="楷体" w:hAnsi="楷体" w:eastAsia="楷体" w:cs="楷体"/>
          <w:color w:val="auto"/>
          <w:spacing w:val="8"/>
          <w:sz w:val="32"/>
          <w:szCs w:val="32"/>
        </w:rPr>
        <w:t>三</w:t>
      </w:r>
      <w:r>
        <w:rPr>
          <w:rFonts w:hint="eastAsia" w:ascii="楷体" w:hAnsi="楷体" w:eastAsia="楷体" w:cs="楷体"/>
          <w:color w:val="auto"/>
          <w:spacing w:val="8"/>
          <w:sz w:val="32"/>
          <w:szCs w:val="32"/>
          <w:lang w:eastAsia="zh-CN"/>
        </w:rPr>
        <w:t>）强化</w:t>
      </w:r>
      <w:r>
        <w:rPr>
          <w:rFonts w:ascii="楷体" w:hAnsi="楷体" w:eastAsia="楷体" w:cs="楷体"/>
          <w:color w:val="auto"/>
          <w:spacing w:val="8"/>
          <w:sz w:val="32"/>
          <w:szCs w:val="32"/>
        </w:rPr>
        <w:t>宣传引导。</w:t>
      </w:r>
      <w:r>
        <w:rPr>
          <w:rFonts w:hint="eastAsia" w:ascii="仿宋_GB2312" w:hAnsi="仿宋_GB2312" w:eastAsia="仿宋_GB2312" w:cs="仿宋_GB2312"/>
          <w:snapToGrid/>
          <w:color w:val="auto"/>
          <w:kern w:val="2"/>
          <w:sz w:val="32"/>
          <w:szCs w:val="32"/>
          <w:lang w:val="en-US" w:eastAsia="zh-CN" w:bidi="ar-SA"/>
        </w:rPr>
        <w:t>持续开展残疾预防宣传教育活动，采取多种形式，强化舆论宣传，鼓励引导社会各界广泛参与、积极支持。及时宣传报道进展情况、工作成效、先进单位和个人等，为推进实施营造良好氛围。</w:t>
      </w:r>
      <w:r>
        <w:rPr>
          <w:rFonts w:hint="eastAsia" w:ascii="楷体_GB2312" w:hAnsi="楷体_GB2312" w:eastAsia="楷体_GB2312" w:cs="楷体_GB2312"/>
          <w:color w:val="auto"/>
          <w:spacing w:val="-3"/>
          <w:sz w:val="32"/>
          <w:szCs w:val="32"/>
          <w:lang w:eastAsia="zh-CN"/>
        </w:rPr>
        <w:t>（</w:t>
      </w:r>
      <w:r>
        <w:rPr>
          <w:rFonts w:hint="eastAsia" w:ascii="楷体_GB2312" w:hAnsi="楷体_GB2312" w:eastAsia="楷体_GB2312" w:cs="楷体_GB2312"/>
          <w:color w:val="auto"/>
          <w:spacing w:val="-3"/>
          <w:sz w:val="32"/>
          <w:szCs w:val="32"/>
          <w:lang w:val="en-US" w:eastAsia="zh-CN"/>
        </w:rPr>
        <w:t>各镇街</w:t>
      </w:r>
      <w:r>
        <w:rPr>
          <w:rFonts w:hint="eastAsia" w:ascii="楷体_GB2312" w:hAnsi="楷体_GB2312" w:eastAsia="楷体_GB2312" w:cs="楷体_GB2312"/>
          <w:color w:val="auto"/>
          <w:spacing w:val="-3"/>
          <w:sz w:val="32"/>
          <w:szCs w:val="32"/>
        </w:rPr>
        <w:t>、</w:t>
      </w:r>
      <w:r>
        <w:rPr>
          <w:rFonts w:hint="eastAsia" w:ascii="楷体_GB2312" w:hAnsi="楷体_GB2312" w:eastAsia="楷体_GB2312" w:cs="楷体_GB2312"/>
          <w:color w:val="auto"/>
          <w:spacing w:val="-3"/>
          <w:sz w:val="32"/>
          <w:szCs w:val="32"/>
          <w:lang w:val="en-US" w:eastAsia="zh-CN"/>
        </w:rPr>
        <w:t>市直</w:t>
      </w:r>
      <w:r>
        <w:rPr>
          <w:rFonts w:hint="eastAsia" w:ascii="楷体_GB2312" w:hAnsi="楷体_GB2312" w:eastAsia="楷体_GB2312" w:cs="楷体_GB2312"/>
          <w:color w:val="auto"/>
          <w:spacing w:val="-3"/>
          <w:sz w:val="32"/>
          <w:szCs w:val="32"/>
        </w:rPr>
        <w:t>有关单位按职责分工负责</w:t>
      </w:r>
      <w:r>
        <w:rPr>
          <w:rFonts w:hint="eastAsia" w:ascii="楷体_GB2312" w:hAnsi="楷体_GB2312" w:eastAsia="楷体_GB2312" w:cs="楷体_GB2312"/>
          <w:color w:val="auto"/>
          <w:spacing w:val="-3"/>
          <w:sz w:val="32"/>
          <w:szCs w:val="32"/>
          <w:lang w:eastAsia="zh-CN"/>
        </w:rPr>
        <w:t>）</w:t>
      </w:r>
    </w:p>
    <w:p>
      <w:pPr>
        <w:keepNext w:val="0"/>
        <w:keepLines w:val="0"/>
        <w:pageBreakBefore w:val="0"/>
        <w:widowControl w:val="0"/>
        <w:kinsoku/>
        <w:wordWrap/>
        <w:overflowPunct w:val="0"/>
        <w:topLinePunct/>
        <w:autoSpaceDE/>
        <w:autoSpaceDN/>
        <w:bidi w:val="0"/>
        <w:spacing w:line="580" w:lineRule="exact"/>
        <w:ind w:left="0" w:right="0"/>
        <w:jc w:val="both"/>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val="0"/>
        <w:kinsoku/>
        <w:wordWrap/>
        <w:overflowPunct w:val="0"/>
        <w:topLinePunct/>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附件：滕州市落实残疾预防行动计划领导小组</w:t>
      </w:r>
    </w:p>
    <w:p>
      <w:pPr>
        <w:keepNext w:val="0"/>
        <w:keepLines w:val="0"/>
        <w:pageBreakBefore w:val="0"/>
        <w:widowControl w:val="0"/>
        <w:kinsoku/>
        <w:wordWrap/>
        <w:overflowPunct w:val="0"/>
        <w:topLinePunct/>
        <w:autoSpaceDE/>
        <w:autoSpaceDN/>
        <w:bidi w:val="0"/>
        <w:jc w:val="both"/>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br w:type="page"/>
      </w:r>
    </w:p>
    <w:p>
      <w:pPr>
        <w:keepNext w:val="0"/>
        <w:keepLines w:val="0"/>
        <w:pageBreakBefore w:val="0"/>
        <w:widowControl w:val="0"/>
        <w:kinsoku/>
        <w:wordWrap/>
        <w:overflowPunct w:val="0"/>
        <w:topLinePunct/>
        <w:autoSpaceDE/>
        <w:autoSpaceDN/>
        <w:bidi w:val="0"/>
        <w:adjustRightInd w:val="0"/>
        <w:snapToGrid w:val="0"/>
        <w:spacing w:line="580" w:lineRule="exact"/>
        <w:ind w:left="0" w:leftChars="0" w:right="0"/>
        <w:jc w:val="both"/>
        <w:textAlignment w:val="baseline"/>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附件：</w:t>
      </w:r>
    </w:p>
    <w:p>
      <w:pPr>
        <w:pStyle w:val="11"/>
        <w:keepNext w:val="0"/>
        <w:keepLines w:val="0"/>
        <w:pageBreakBefore w:val="0"/>
        <w:wordWrap/>
        <w:overflowPunct w:val="0"/>
        <w:autoSpaceDE/>
        <w:autoSpaceDN/>
        <w:bidi w:val="0"/>
        <w:adjustRightInd w:val="0"/>
        <w:snapToGrid w:val="0"/>
        <w:spacing w:line="580" w:lineRule="exact"/>
        <w:ind w:left="0" w:leftChars="0" w:firstLine="420" w:firstLineChars="200"/>
        <w:textAlignment w:val="baseline"/>
        <w:rPr>
          <w:rFonts w:hint="eastAsia"/>
          <w:spacing w:val="0"/>
          <w:lang w:val="en-US" w:eastAsia="zh-CN"/>
        </w:rPr>
      </w:pPr>
    </w:p>
    <w:p>
      <w:pPr>
        <w:keepNext w:val="0"/>
        <w:keepLines w:val="0"/>
        <w:pageBreakBefore w:val="0"/>
        <w:widowControl w:val="0"/>
        <w:kinsoku/>
        <w:wordWrap/>
        <w:overflowPunct w:val="0"/>
        <w:topLinePunct/>
        <w:autoSpaceDE/>
        <w:autoSpaceDN/>
        <w:bidi w:val="0"/>
        <w:adjustRightInd w:val="0"/>
        <w:snapToGrid w:val="0"/>
        <w:spacing w:line="580" w:lineRule="exact"/>
        <w:ind w:left="0" w:leftChars="0" w:right="0"/>
        <w:jc w:val="center"/>
        <w:textAlignment w:val="baseline"/>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滕州市落实残疾预防行动计划领导小组</w:t>
      </w:r>
    </w:p>
    <w:p>
      <w:pPr>
        <w:keepNext w:val="0"/>
        <w:keepLines w:val="0"/>
        <w:pageBreakBefore w:val="0"/>
        <w:widowControl w:val="0"/>
        <w:kinsoku/>
        <w:wordWrap/>
        <w:overflowPunct w:val="0"/>
        <w:topLinePunct/>
        <w:autoSpaceDE/>
        <w:autoSpaceDN/>
        <w:bidi w:val="0"/>
        <w:adjustRightInd w:val="0"/>
        <w:snapToGrid w:val="0"/>
        <w:spacing w:line="580" w:lineRule="exact"/>
        <w:ind w:left="0" w:leftChars="0" w:right="0" w:firstLine="880" w:firstLineChars="200"/>
        <w:jc w:val="both"/>
        <w:textAlignment w:val="baseline"/>
        <w:rPr>
          <w:rFonts w:hint="eastAsia" w:ascii="方正小标宋简体" w:hAnsi="方正小标宋简体" w:eastAsia="方正小标宋简体" w:cs="方正小标宋简体"/>
          <w:color w:val="auto"/>
          <w:spacing w:val="0"/>
          <w:sz w:val="44"/>
          <w:szCs w:val="44"/>
          <w:lang w:val="en-US" w:eastAsia="zh-CN"/>
        </w:rPr>
      </w:pPr>
    </w:p>
    <w:p>
      <w:pPr>
        <w:keepNext w:val="0"/>
        <w:keepLines w:val="0"/>
        <w:pageBreakBefore w:val="0"/>
        <w:widowControl w:val="0"/>
        <w:kinsoku/>
        <w:wordWrap/>
        <w:overflowPunct w:val="0"/>
        <w:topLinePunct/>
        <w:autoSpaceDE/>
        <w:autoSpaceDN/>
        <w:bidi w:val="0"/>
        <w:adjustRightInd w:val="0"/>
        <w:snapToGrid w:val="0"/>
        <w:spacing w:line="580" w:lineRule="exact"/>
        <w:ind w:left="0" w:leftChars="0" w:right="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组  长：张晓翠  市政府副市长、市残工委主任</w:t>
      </w:r>
    </w:p>
    <w:p>
      <w:pPr>
        <w:keepNext w:val="0"/>
        <w:keepLines w:val="0"/>
        <w:pageBreakBefore w:val="0"/>
        <w:widowControl w:val="0"/>
        <w:kinsoku/>
        <w:wordWrap/>
        <w:overflowPunct w:val="0"/>
        <w:topLinePunct/>
        <w:autoSpaceDE/>
        <w:autoSpaceDN/>
        <w:bidi w:val="0"/>
        <w:adjustRightInd w:val="0"/>
        <w:snapToGrid w:val="0"/>
        <w:spacing w:line="580" w:lineRule="exact"/>
        <w:ind w:left="0" w:leftChars="0" w:right="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副组长：赵逢永  市残工委副主任、市残联理事长</w:t>
      </w:r>
    </w:p>
    <w:p>
      <w:pPr>
        <w:keepNext w:val="0"/>
        <w:keepLines w:val="0"/>
        <w:pageBreakBefore w:val="0"/>
        <w:widowControl w:val="0"/>
        <w:kinsoku/>
        <w:wordWrap/>
        <w:overflowPunct w:val="0"/>
        <w:topLinePunct/>
        <w:autoSpaceDE/>
        <w:autoSpaceDN/>
        <w:bidi w:val="0"/>
        <w:adjustRightInd w:val="0"/>
        <w:snapToGrid w:val="0"/>
        <w:spacing w:line="580" w:lineRule="exact"/>
        <w:ind w:left="1280" w:leftChars="0" w:right="0" w:hanging="1280" w:hangingChars="4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xml:space="preserve">　　成  员：张  伟  </w:t>
      </w:r>
      <w:r>
        <w:rPr>
          <w:rFonts w:hint="eastAsia" w:ascii="仿宋_GB2312" w:hAnsi="仿宋_GB2312" w:eastAsia="仿宋_GB2312" w:cs="仿宋_GB2312"/>
          <w:color w:val="auto"/>
          <w:spacing w:val="0"/>
          <w:sz w:val="32"/>
          <w:szCs w:val="32"/>
        </w:rPr>
        <w:t>市</w:t>
      </w:r>
      <w:r>
        <w:rPr>
          <w:rFonts w:hint="eastAsia" w:ascii="仿宋_GB2312" w:hAnsi="仿宋_GB2312" w:eastAsia="仿宋_GB2312" w:cs="仿宋_GB2312"/>
          <w:color w:val="auto"/>
          <w:spacing w:val="0"/>
          <w:sz w:val="32"/>
          <w:szCs w:val="32"/>
          <w:lang w:val="en-US" w:eastAsia="zh-CN"/>
        </w:rPr>
        <w:t>总工会</w:t>
      </w:r>
      <w:r>
        <w:rPr>
          <w:rFonts w:hint="default" w:ascii="仿宋_GB2312" w:hAnsi="仿宋_GB2312" w:eastAsia="仿宋_GB2312" w:cs="仿宋_GB2312"/>
          <w:color w:val="auto"/>
          <w:spacing w:val="0"/>
          <w:sz w:val="32"/>
          <w:szCs w:val="32"/>
          <w:lang w:val="en-US" w:eastAsia="zh-CN"/>
        </w:rPr>
        <w:t>党组成员、二级主任科员</w:t>
      </w:r>
    </w:p>
    <w:p>
      <w:pPr>
        <w:keepNext w:val="0"/>
        <w:keepLines w:val="0"/>
        <w:pageBreakBefore w:val="0"/>
        <w:wordWrap/>
        <w:bidi w:val="0"/>
        <w:adjustRightInd w:val="0"/>
        <w:snapToGrid w:val="0"/>
        <w:spacing w:line="580" w:lineRule="exact"/>
        <w:ind w:left="0" w:leftChars="0" w:firstLine="1920" w:firstLineChars="600"/>
        <w:jc w:val="left"/>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胡  垒  团市委副书记</w:t>
      </w:r>
    </w:p>
    <w:p>
      <w:pPr>
        <w:keepNext w:val="0"/>
        <w:keepLines w:val="0"/>
        <w:pageBreakBefore w:val="0"/>
        <w:wordWrap/>
        <w:bidi w:val="0"/>
        <w:adjustRightInd w:val="0"/>
        <w:snapToGrid w:val="0"/>
        <w:spacing w:line="580" w:lineRule="exact"/>
        <w:ind w:left="0" w:leftChars="0" w:firstLine="1920" w:firstLineChars="600"/>
        <w:jc w:val="left"/>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xml:space="preserve">王艳秋  </w:t>
      </w:r>
      <w:r>
        <w:rPr>
          <w:rFonts w:hint="eastAsia" w:ascii="仿宋_GB2312" w:hAnsi="仿宋_GB2312" w:eastAsia="仿宋_GB2312" w:cs="仿宋_GB2312"/>
          <w:color w:val="auto"/>
          <w:spacing w:val="0"/>
          <w:sz w:val="32"/>
          <w:szCs w:val="32"/>
        </w:rPr>
        <w:t>市妇联</w:t>
      </w:r>
      <w:r>
        <w:rPr>
          <w:rFonts w:hint="eastAsia" w:ascii="仿宋_GB2312" w:hAnsi="仿宋_GB2312" w:eastAsia="仿宋_GB2312" w:cs="仿宋_GB2312"/>
          <w:color w:val="auto"/>
          <w:spacing w:val="0"/>
          <w:sz w:val="32"/>
          <w:szCs w:val="32"/>
          <w:lang w:val="en-US" w:eastAsia="zh-CN"/>
        </w:rPr>
        <w:t>权益家儿部部长</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firstLine="1920" w:firstLineChars="600"/>
        <w:jc w:val="left"/>
        <w:textAlignment w:val="baseline"/>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司  马  市红十字会党组成员、副会长</w:t>
      </w:r>
    </w:p>
    <w:p>
      <w:pPr>
        <w:keepNext w:val="0"/>
        <w:keepLines w:val="0"/>
        <w:pageBreakBefore w:val="0"/>
        <w:widowControl w:val="0"/>
        <w:kinsoku/>
        <w:wordWrap/>
        <w:overflowPunct w:val="0"/>
        <w:topLinePunct/>
        <w:autoSpaceDE/>
        <w:autoSpaceDN/>
        <w:bidi w:val="0"/>
        <w:adjustRightInd w:val="0"/>
        <w:snapToGrid w:val="0"/>
        <w:spacing w:line="580" w:lineRule="exact"/>
        <w:ind w:left="0" w:leftChars="0" w:right="0" w:firstLine="1920" w:firstLineChars="600"/>
        <w:jc w:val="left"/>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方  浩  市委宣传部网络安全保障服务中心</w:t>
      </w:r>
    </w:p>
    <w:p>
      <w:pPr>
        <w:keepNext w:val="0"/>
        <w:keepLines w:val="0"/>
        <w:pageBreakBefore w:val="0"/>
        <w:widowControl w:val="0"/>
        <w:kinsoku/>
        <w:wordWrap/>
        <w:overflowPunct w:val="0"/>
        <w:topLinePunct/>
        <w:autoSpaceDE/>
        <w:autoSpaceDN/>
        <w:bidi w:val="0"/>
        <w:adjustRightInd w:val="0"/>
        <w:snapToGrid w:val="0"/>
        <w:spacing w:line="580" w:lineRule="exact"/>
        <w:ind w:left="0" w:leftChars="0" w:right="0" w:firstLine="1920" w:firstLineChars="600"/>
        <w:jc w:val="left"/>
        <w:textAlignment w:val="baseline"/>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副主任</w:t>
      </w:r>
    </w:p>
    <w:p>
      <w:pPr>
        <w:keepNext w:val="0"/>
        <w:keepLines w:val="0"/>
        <w:pageBreakBefore w:val="0"/>
        <w:widowControl w:val="0"/>
        <w:kinsoku/>
        <w:wordWrap/>
        <w:overflowPunct w:val="0"/>
        <w:topLinePunct/>
        <w:autoSpaceDE/>
        <w:autoSpaceDN/>
        <w:bidi w:val="0"/>
        <w:adjustRightInd w:val="0"/>
        <w:snapToGrid w:val="0"/>
        <w:spacing w:line="580" w:lineRule="exact"/>
        <w:ind w:left="0" w:leftChars="0" w:right="0" w:firstLine="1920" w:firstLineChars="600"/>
        <w:jc w:val="left"/>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谢运启  市自然资源局党组成员、副局长</w:t>
      </w:r>
    </w:p>
    <w:p>
      <w:pPr>
        <w:keepNext w:val="0"/>
        <w:keepLines w:val="0"/>
        <w:pageBreakBefore w:val="0"/>
        <w:widowControl w:val="0"/>
        <w:kinsoku/>
        <w:wordWrap/>
        <w:overflowPunct w:val="0"/>
        <w:topLinePunct/>
        <w:autoSpaceDE/>
        <w:autoSpaceDN/>
        <w:bidi w:val="0"/>
        <w:adjustRightInd w:val="0"/>
        <w:snapToGrid w:val="0"/>
        <w:spacing w:line="580" w:lineRule="exact"/>
        <w:ind w:left="0" w:leftChars="0" w:right="0" w:firstLine="1920" w:firstLineChars="600"/>
        <w:jc w:val="left"/>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赵守君  市人力资源和社会保障局副局长</w:t>
      </w:r>
    </w:p>
    <w:p>
      <w:pPr>
        <w:keepNext w:val="0"/>
        <w:keepLines w:val="0"/>
        <w:pageBreakBefore w:val="0"/>
        <w:widowControl w:val="0"/>
        <w:kinsoku/>
        <w:wordWrap/>
        <w:overflowPunct w:val="0"/>
        <w:topLinePunct/>
        <w:autoSpaceDE/>
        <w:autoSpaceDN/>
        <w:bidi w:val="0"/>
        <w:adjustRightInd w:val="0"/>
        <w:snapToGrid w:val="0"/>
        <w:spacing w:line="580" w:lineRule="exact"/>
        <w:ind w:left="0" w:leftChars="0" w:right="0" w:firstLine="1920" w:firstLineChars="600"/>
        <w:jc w:val="left"/>
        <w:textAlignment w:val="baseline"/>
        <w:rPr>
          <w:rFonts w:hint="default" w:ascii="仿宋_GB2312" w:hAnsi="仿宋_GB2312" w:eastAsia="仿宋_GB2312" w:cs="仿宋_GB2312"/>
          <w:color w:val="auto"/>
          <w:spacing w:val="0"/>
          <w:sz w:val="32"/>
          <w:szCs w:val="32"/>
          <w:lang w:val="en-US"/>
        </w:rPr>
      </w:pPr>
      <w:r>
        <w:rPr>
          <w:rFonts w:hint="eastAsia" w:ascii="仿宋_GB2312" w:hAnsi="仿宋_GB2312" w:eastAsia="仿宋_GB2312" w:cs="仿宋_GB2312"/>
          <w:color w:val="auto"/>
          <w:spacing w:val="0"/>
          <w:sz w:val="32"/>
          <w:szCs w:val="32"/>
          <w:lang w:val="en-US" w:eastAsia="zh-CN"/>
        </w:rPr>
        <w:t>张福彪  市财政局副局长</w:t>
      </w:r>
    </w:p>
    <w:p>
      <w:pPr>
        <w:keepNext w:val="0"/>
        <w:keepLines w:val="0"/>
        <w:pageBreakBefore w:val="0"/>
        <w:wordWrap/>
        <w:bidi w:val="0"/>
        <w:adjustRightInd w:val="0"/>
        <w:snapToGrid w:val="0"/>
        <w:spacing w:line="580" w:lineRule="exact"/>
        <w:ind w:left="0" w:leftChars="0" w:firstLine="1920" w:firstLineChars="600"/>
        <w:jc w:val="left"/>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时均浩  市发展和改革局党组成员、重点项目</w:t>
      </w:r>
    </w:p>
    <w:p>
      <w:pPr>
        <w:keepNext w:val="0"/>
        <w:keepLines w:val="0"/>
        <w:pageBreakBefore w:val="0"/>
        <w:wordWrap/>
        <w:bidi w:val="0"/>
        <w:adjustRightInd w:val="0"/>
        <w:snapToGrid w:val="0"/>
        <w:spacing w:line="580" w:lineRule="exact"/>
        <w:ind w:left="0" w:leftChars="0" w:firstLine="1920" w:firstLineChars="600"/>
        <w:jc w:val="left"/>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服务中心主任</w:t>
      </w:r>
    </w:p>
    <w:p>
      <w:pPr>
        <w:keepNext w:val="0"/>
        <w:keepLines w:val="0"/>
        <w:pageBreakBefore w:val="0"/>
        <w:wordWrap/>
        <w:bidi w:val="0"/>
        <w:adjustRightInd w:val="0"/>
        <w:snapToGrid w:val="0"/>
        <w:spacing w:line="580" w:lineRule="exact"/>
        <w:ind w:left="0" w:leftChars="0" w:firstLine="1920" w:firstLineChars="600"/>
        <w:jc w:val="left"/>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纪彦君  市教育和体育局副局长</w:t>
      </w:r>
    </w:p>
    <w:p>
      <w:pPr>
        <w:keepNext w:val="0"/>
        <w:keepLines w:val="0"/>
        <w:pageBreakBefore w:val="0"/>
        <w:wordWrap/>
        <w:bidi w:val="0"/>
        <w:adjustRightInd w:val="0"/>
        <w:snapToGrid w:val="0"/>
        <w:spacing w:line="580" w:lineRule="exact"/>
        <w:ind w:left="0" w:leftChars="0" w:firstLine="1920" w:firstLineChars="600"/>
        <w:jc w:val="left"/>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安富国  市科技局副局长</w:t>
      </w:r>
    </w:p>
    <w:p>
      <w:pPr>
        <w:keepNext w:val="0"/>
        <w:keepLines w:val="0"/>
        <w:pageBreakBefore w:val="0"/>
        <w:wordWrap/>
        <w:bidi w:val="0"/>
        <w:adjustRightInd w:val="0"/>
        <w:snapToGrid w:val="0"/>
        <w:spacing w:line="580" w:lineRule="exact"/>
        <w:ind w:left="0" w:leftChars="0" w:firstLine="1920" w:firstLineChars="600"/>
        <w:jc w:val="left"/>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杨  勇  市民政局副局长</w:t>
      </w:r>
    </w:p>
    <w:p>
      <w:pPr>
        <w:keepNext w:val="0"/>
        <w:keepLines w:val="0"/>
        <w:pageBreakBefore w:val="0"/>
        <w:widowControl w:val="0"/>
        <w:kinsoku/>
        <w:wordWrap/>
        <w:overflowPunct w:val="0"/>
        <w:topLinePunct/>
        <w:autoSpaceDE/>
        <w:autoSpaceDN/>
        <w:bidi w:val="0"/>
        <w:adjustRightInd w:val="0"/>
        <w:snapToGrid w:val="0"/>
        <w:spacing w:line="580" w:lineRule="exact"/>
        <w:ind w:left="0" w:leftChars="0" w:right="0" w:firstLine="1920" w:firstLineChars="600"/>
        <w:jc w:val="left"/>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刘加栋  市公安局副局长</w:t>
      </w:r>
    </w:p>
    <w:p>
      <w:pPr>
        <w:keepNext w:val="0"/>
        <w:keepLines w:val="0"/>
        <w:pageBreakBefore w:val="0"/>
        <w:wordWrap/>
        <w:bidi w:val="0"/>
        <w:adjustRightInd w:val="0"/>
        <w:snapToGrid w:val="0"/>
        <w:spacing w:line="580" w:lineRule="exact"/>
        <w:ind w:left="0" w:leftChars="0" w:firstLine="1920" w:firstLineChars="600"/>
        <w:jc w:val="left"/>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王  涛  市工业和信息化局党组成员、</w:t>
      </w:r>
    </w:p>
    <w:p>
      <w:pPr>
        <w:keepNext w:val="0"/>
        <w:keepLines w:val="0"/>
        <w:pageBreakBefore w:val="0"/>
        <w:wordWrap/>
        <w:bidi w:val="0"/>
        <w:adjustRightInd w:val="0"/>
        <w:snapToGrid w:val="0"/>
        <w:spacing w:line="580" w:lineRule="exact"/>
        <w:ind w:left="0" w:leftChars="0" w:firstLine="1920" w:firstLineChars="600"/>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二级主任科员</w:t>
      </w:r>
    </w:p>
    <w:p>
      <w:pPr>
        <w:keepNext w:val="0"/>
        <w:keepLines w:val="0"/>
        <w:pageBreakBefore w:val="0"/>
        <w:widowControl w:val="0"/>
        <w:kinsoku/>
        <w:wordWrap/>
        <w:overflowPunct w:val="0"/>
        <w:topLinePunct/>
        <w:autoSpaceDE/>
        <w:autoSpaceDN/>
        <w:bidi w:val="0"/>
        <w:adjustRightInd w:val="0"/>
        <w:snapToGrid w:val="0"/>
        <w:spacing w:line="580" w:lineRule="exact"/>
        <w:ind w:left="0" w:leftChars="0" w:right="0" w:firstLine="1920" w:firstLineChars="6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李宏江  市住房和城乡建设局副局长</w:t>
      </w:r>
    </w:p>
    <w:p>
      <w:pPr>
        <w:keepNext w:val="0"/>
        <w:keepLines w:val="0"/>
        <w:pageBreakBefore w:val="0"/>
        <w:wordWrap/>
        <w:bidi w:val="0"/>
        <w:adjustRightInd w:val="0"/>
        <w:snapToGrid w:val="0"/>
        <w:spacing w:line="580" w:lineRule="exact"/>
        <w:ind w:left="0" w:leftChars="0" w:firstLine="1920" w:firstLineChars="600"/>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马钦勇  市交通运输局副局长</w:t>
      </w:r>
    </w:p>
    <w:p>
      <w:pPr>
        <w:keepNext w:val="0"/>
        <w:keepLines w:val="0"/>
        <w:pageBreakBefore w:val="0"/>
        <w:widowControl w:val="0"/>
        <w:kinsoku/>
        <w:wordWrap/>
        <w:overflowPunct w:val="0"/>
        <w:topLinePunct/>
        <w:autoSpaceDE/>
        <w:autoSpaceDN/>
        <w:bidi w:val="0"/>
        <w:adjustRightInd w:val="0"/>
        <w:snapToGrid w:val="0"/>
        <w:spacing w:line="580" w:lineRule="exact"/>
        <w:ind w:left="0" w:leftChars="0" w:right="0" w:firstLine="1920" w:firstLineChars="6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rPr>
        <w:t>王军伟</w:t>
      </w:r>
      <w:r>
        <w:rPr>
          <w:rFonts w:hint="eastAsia" w:ascii="仿宋_GB2312" w:hAnsi="仿宋_GB2312" w:eastAsia="仿宋_GB2312" w:cs="仿宋_GB2312"/>
          <w:color w:val="auto"/>
          <w:spacing w:val="0"/>
          <w:sz w:val="32"/>
          <w:szCs w:val="32"/>
          <w:lang w:val="en-US" w:eastAsia="zh-CN"/>
        </w:rPr>
        <w:t xml:space="preserve">  市城乡水务局</w:t>
      </w:r>
      <w:r>
        <w:rPr>
          <w:rFonts w:hint="eastAsia" w:ascii="仿宋_GB2312" w:hAnsi="仿宋_GB2312" w:eastAsia="仿宋_GB2312" w:cs="仿宋_GB2312"/>
          <w:color w:val="auto"/>
          <w:spacing w:val="0"/>
          <w:sz w:val="32"/>
          <w:szCs w:val="32"/>
        </w:rPr>
        <w:t>副局长</w:t>
      </w:r>
    </w:p>
    <w:p>
      <w:pPr>
        <w:keepNext w:val="0"/>
        <w:keepLines w:val="0"/>
        <w:pageBreakBefore w:val="0"/>
        <w:wordWrap/>
        <w:bidi w:val="0"/>
        <w:adjustRightInd w:val="0"/>
        <w:snapToGrid w:val="0"/>
        <w:spacing w:line="580" w:lineRule="exact"/>
        <w:ind w:left="0" w:leftChars="0" w:firstLine="1920" w:firstLineChars="600"/>
        <w:jc w:val="left"/>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孔  杰  市农业农村局副局长（挂职）</w:t>
      </w:r>
    </w:p>
    <w:p>
      <w:pPr>
        <w:keepNext w:val="0"/>
        <w:keepLines w:val="0"/>
        <w:pageBreakBefore w:val="0"/>
        <w:wordWrap/>
        <w:bidi w:val="0"/>
        <w:adjustRightInd w:val="0"/>
        <w:snapToGrid w:val="0"/>
        <w:spacing w:line="580" w:lineRule="exact"/>
        <w:ind w:left="0" w:leftChars="0" w:firstLine="1920" w:firstLineChars="600"/>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曾  超  市文化和旅游局副局长</w:t>
      </w:r>
    </w:p>
    <w:p>
      <w:pPr>
        <w:keepNext w:val="0"/>
        <w:keepLines w:val="0"/>
        <w:pageBreakBefore w:val="0"/>
        <w:wordWrap/>
        <w:bidi w:val="0"/>
        <w:adjustRightInd w:val="0"/>
        <w:snapToGrid w:val="0"/>
        <w:spacing w:line="580" w:lineRule="exact"/>
        <w:ind w:left="0" w:leftChars="0" w:firstLine="1920" w:firstLineChars="600"/>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李国庆  市</w:t>
      </w:r>
      <w:r>
        <w:rPr>
          <w:rFonts w:hint="eastAsia" w:ascii="仿宋_GB2312" w:hAnsi="仿宋_GB2312" w:eastAsia="仿宋_GB2312" w:cs="仿宋_GB2312"/>
          <w:color w:val="auto"/>
          <w:spacing w:val="0"/>
          <w:sz w:val="32"/>
          <w:szCs w:val="32"/>
          <w:lang w:val="en-US" w:eastAsia="zh-CN"/>
        </w:rPr>
        <w:t>卫生</w:t>
      </w:r>
      <w:bookmarkStart w:id="0" w:name="_GoBack"/>
      <w:bookmarkEnd w:id="0"/>
      <w:r>
        <w:rPr>
          <w:rFonts w:hint="eastAsia" w:ascii="仿宋_GB2312" w:hAnsi="仿宋_GB2312" w:eastAsia="仿宋_GB2312" w:cs="仿宋_GB2312"/>
          <w:color w:val="auto"/>
          <w:spacing w:val="0"/>
          <w:sz w:val="32"/>
          <w:szCs w:val="32"/>
          <w:lang w:val="en-US" w:eastAsia="zh-CN"/>
        </w:rPr>
        <w:t>健康</w:t>
      </w:r>
      <w:r>
        <w:rPr>
          <w:rFonts w:hint="eastAsia" w:ascii="仿宋_GB2312" w:hAnsi="仿宋_GB2312" w:eastAsia="仿宋_GB2312" w:cs="仿宋_GB2312"/>
          <w:color w:val="auto"/>
          <w:spacing w:val="0"/>
          <w:sz w:val="32"/>
          <w:szCs w:val="32"/>
        </w:rPr>
        <w:t>局副局长</w:t>
      </w:r>
    </w:p>
    <w:p>
      <w:pPr>
        <w:keepNext w:val="0"/>
        <w:keepLines w:val="0"/>
        <w:pageBreakBefore w:val="0"/>
        <w:widowControl w:val="0"/>
        <w:kinsoku/>
        <w:wordWrap/>
        <w:overflowPunct w:val="0"/>
        <w:topLinePunct/>
        <w:autoSpaceDE/>
        <w:autoSpaceDN/>
        <w:bidi w:val="0"/>
        <w:adjustRightInd w:val="0"/>
        <w:snapToGrid w:val="0"/>
        <w:spacing w:line="580" w:lineRule="exact"/>
        <w:ind w:left="0" w:leftChars="0" w:right="0" w:firstLine="1920" w:firstLineChars="600"/>
        <w:jc w:val="both"/>
        <w:textAlignment w:val="baseline"/>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韦永水  市退役军人事务局党组成员、</w:t>
      </w:r>
    </w:p>
    <w:p>
      <w:pPr>
        <w:keepNext w:val="0"/>
        <w:keepLines w:val="0"/>
        <w:pageBreakBefore w:val="0"/>
        <w:widowControl w:val="0"/>
        <w:kinsoku/>
        <w:wordWrap/>
        <w:overflowPunct w:val="0"/>
        <w:topLinePunct/>
        <w:autoSpaceDE/>
        <w:autoSpaceDN/>
        <w:bidi w:val="0"/>
        <w:adjustRightInd w:val="0"/>
        <w:snapToGrid w:val="0"/>
        <w:spacing w:line="580" w:lineRule="exact"/>
        <w:ind w:left="0" w:leftChars="0" w:right="0" w:firstLine="1920" w:firstLineChars="600"/>
        <w:jc w:val="both"/>
        <w:textAlignment w:val="baseline"/>
        <w:rPr>
          <w:rFonts w:hint="default"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　　　　退役军人服务中心主任</w:t>
      </w:r>
    </w:p>
    <w:p>
      <w:pPr>
        <w:keepNext w:val="0"/>
        <w:keepLines w:val="0"/>
        <w:pageBreakBefore w:val="0"/>
        <w:widowControl w:val="0"/>
        <w:kinsoku/>
        <w:wordWrap/>
        <w:overflowPunct w:val="0"/>
        <w:topLinePunct/>
        <w:autoSpaceDE/>
        <w:autoSpaceDN/>
        <w:bidi w:val="0"/>
        <w:adjustRightInd w:val="0"/>
        <w:snapToGrid w:val="0"/>
        <w:spacing w:line="580" w:lineRule="exact"/>
        <w:ind w:left="0" w:leftChars="0" w:right="0" w:firstLine="1920" w:firstLineChars="600"/>
        <w:jc w:val="both"/>
        <w:textAlignment w:val="baseline"/>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蔡成慧  市应急管理局安全生产委员会办公室</w:t>
      </w:r>
    </w:p>
    <w:p>
      <w:pPr>
        <w:keepNext w:val="0"/>
        <w:keepLines w:val="0"/>
        <w:pageBreakBefore w:val="0"/>
        <w:widowControl w:val="0"/>
        <w:kinsoku/>
        <w:wordWrap/>
        <w:overflowPunct w:val="0"/>
        <w:topLinePunct/>
        <w:autoSpaceDE/>
        <w:autoSpaceDN/>
        <w:bidi w:val="0"/>
        <w:adjustRightInd w:val="0"/>
        <w:snapToGrid w:val="0"/>
        <w:spacing w:line="580" w:lineRule="exact"/>
        <w:ind w:left="0" w:leftChars="0" w:right="0" w:firstLine="1920" w:firstLineChars="600"/>
        <w:jc w:val="both"/>
        <w:textAlignment w:val="baseline"/>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　　　　专职副主任</w:t>
      </w:r>
    </w:p>
    <w:p>
      <w:pPr>
        <w:keepNext w:val="0"/>
        <w:keepLines w:val="0"/>
        <w:pageBreakBefore w:val="0"/>
        <w:widowControl w:val="0"/>
        <w:kinsoku/>
        <w:wordWrap/>
        <w:overflowPunct w:val="0"/>
        <w:topLinePunct/>
        <w:autoSpaceDE/>
        <w:autoSpaceDN/>
        <w:bidi w:val="0"/>
        <w:adjustRightInd w:val="0"/>
        <w:snapToGrid w:val="0"/>
        <w:spacing w:line="580" w:lineRule="exact"/>
        <w:ind w:left="0" w:leftChars="0" w:right="0" w:firstLine="1920" w:firstLineChars="600"/>
        <w:jc w:val="both"/>
        <w:textAlignment w:val="baseline"/>
        <w:rPr>
          <w:rFonts w:hint="default"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李慈武  市审计局副局长</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firstLine="1920" w:firstLineChars="600"/>
        <w:jc w:val="left"/>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马全运  市市场监督管理局副局长</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firstLine="1920" w:firstLineChars="600"/>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马龙岩  市医疗保障局党组成员、市医疗保险</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firstLine="1920" w:firstLineChars="600"/>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事业中心主任</w:t>
      </w:r>
    </w:p>
    <w:p>
      <w:pPr>
        <w:keepNext w:val="0"/>
        <w:keepLines w:val="0"/>
        <w:pageBreakBefore w:val="0"/>
        <w:wordWrap/>
        <w:bidi w:val="0"/>
        <w:adjustRightInd w:val="0"/>
        <w:snapToGrid w:val="0"/>
        <w:spacing w:line="580" w:lineRule="exact"/>
        <w:ind w:left="0" w:leftChars="0" w:firstLine="1920" w:firstLineChars="6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孙  薇  枣庄市生态环境局滕州分局副局长</w:t>
      </w:r>
    </w:p>
    <w:p>
      <w:pPr>
        <w:keepNext w:val="0"/>
        <w:keepLines w:val="0"/>
        <w:pageBreakBefore w:val="0"/>
        <w:wordWrap/>
        <w:bidi w:val="0"/>
        <w:adjustRightInd w:val="0"/>
        <w:snapToGrid w:val="0"/>
        <w:spacing w:line="580" w:lineRule="exact"/>
        <w:ind w:left="0" w:leftChars="0" w:firstLine="1920" w:firstLineChars="600"/>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黄士辉  市能源事务中心副主任</w:t>
      </w:r>
    </w:p>
    <w:p>
      <w:pPr>
        <w:keepNext w:val="0"/>
        <w:keepLines w:val="0"/>
        <w:pageBreakBefore w:val="0"/>
        <w:wordWrap/>
        <w:bidi w:val="0"/>
        <w:adjustRightInd w:val="0"/>
        <w:snapToGrid w:val="0"/>
        <w:spacing w:line="580" w:lineRule="exact"/>
        <w:ind w:left="0" w:leftChars="0" w:firstLine="1920" w:firstLineChars="600"/>
        <w:textAlignment w:val="baseline"/>
        <w:rPr>
          <w:rFonts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张本卿  市气象局副局长</w:t>
      </w:r>
    </w:p>
    <w:p>
      <w:pPr>
        <w:keepNext w:val="0"/>
        <w:keepLines w:val="0"/>
        <w:pageBreakBefore w:val="0"/>
        <w:wordWrap/>
        <w:bidi w:val="0"/>
        <w:adjustRightInd w:val="0"/>
        <w:snapToGrid w:val="0"/>
        <w:spacing w:line="580" w:lineRule="exact"/>
        <w:ind w:left="0" w:leftChars="0" w:firstLine="1920" w:firstLineChars="600"/>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rPr>
        <w:t>鞠</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峰</w:t>
      </w:r>
      <w:r>
        <w:rPr>
          <w:rFonts w:hint="eastAsia" w:ascii="仿宋_GB2312" w:hAnsi="仿宋_GB2312" w:eastAsia="仿宋_GB2312" w:cs="仿宋_GB2312"/>
          <w:color w:val="auto"/>
          <w:spacing w:val="0"/>
          <w:sz w:val="32"/>
          <w:szCs w:val="32"/>
          <w:lang w:val="en-US" w:eastAsia="zh-CN"/>
        </w:rPr>
        <w:t xml:space="preserve">  国家税务总局滕州税务局</w:t>
      </w:r>
      <w:r>
        <w:rPr>
          <w:rFonts w:hint="eastAsia" w:ascii="仿宋_GB2312" w:hAnsi="仿宋_GB2312" w:eastAsia="仿宋_GB2312" w:cs="仿宋_GB2312"/>
          <w:color w:val="auto"/>
          <w:spacing w:val="0"/>
          <w:sz w:val="32"/>
          <w:szCs w:val="32"/>
        </w:rPr>
        <w:t xml:space="preserve">副局长 </w:t>
      </w:r>
    </w:p>
    <w:p>
      <w:pPr>
        <w:keepNext w:val="0"/>
        <w:keepLines w:val="0"/>
        <w:pageBreakBefore w:val="0"/>
        <w:widowControl w:val="0"/>
        <w:kinsoku/>
        <w:wordWrap/>
        <w:overflowPunct w:val="0"/>
        <w:topLinePunct/>
        <w:autoSpaceDE/>
        <w:autoSpaceDN/>
        <w:bidi w:val="0"/>
        <w:adjustRightInd w:val="0"/>
        <w:snapToGrid w:val="0"/>
        <w:spacing w:line="580" w:lineRule="exact"/>
        <w:ind w:left="0" w:leftChars="0" w:right="0" w:firstLine="1920" w:firstLineChars="6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丁  特  市消防救援大队初级专业技术职务</w:t>
      </w:r>
    </w:p>
    <w:sectPr>
      <w:footerReference r:id="rId5" w:type="default"/>
      <w:pgSz w:w="11906" w:h="16839"/>
      <w:pgMar w:top="1701" w:right="1701" w:bottom="1701" w:left="1701" w:header="850" w:footer="1304"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altName w:val="汉仪中宋简"/>
    <w:panose1 w:val="02010600040101010101"/>
    <w:charset w:val="00"/>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4"/>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c4ODg4ZDcyYjRkMjI0NDZiOTNlZjRhZmY2NWIyNzUifQ=="/>
  </w:docVars>
  <w:rsids>
    <w:rsidRoot w:val="00000000"/>
    <w:rsid w:val="00207852"/>
    <w:rsid w:val="018304B6"/>
    <w:rsid w:val="029D76B3"/>
    <w:rsid w:val="02E96AC9"/>
    <w:rsid w:val="0306107B"/>
    <w:rsid w:val="0502762A"/>
    <w:rsid w:val="055319C5"/>
    <w:rsid w:val="06255BC2"/>
    <w:rsid w:val="065D55D4"/>
    <w:rsid w:val="07036F5E"/>
    <w:rsid w:val="07CD6CF3"/>
    <w:rsid w:val="08275C22"/>
    <w:rsid w:val="089A2898"/>
    <w:rsid w:val="09C462A2"/>
    <w:rsid w:val="0A427ACD"/>
    <w:rsid w:val="0AA864A6"/>
    <w:rsid w:val="0B5F3925"/>
    <w:rsid w:val="0C052709"/>
    <w:rsid w:val="0C994C14"/>
    <w:rsid w:val="0D023520"/>
    <w:rsid w:val="0ED174EF"/>
    <w:rsid w:val="0EE8119B"/>
    <w:rsid w:val="0F5A3BB7"/>
    <w:rsid w:val="107E4380"/>
    <w:rsid w:val="10D20225"/>
    <w:rsid w:val="10E50795"/>
    <w:rsid w:val="10FD7E68"/>
    <w:rsid w:val="124C0357"/>
    <w:rsid w:val="134676D3"/>
    <w:rsid w:val="13CE1647"/>
    <w:rsid w:val="14FE6FD7"/>
    <w:rsid w:val="17451C21"/>
    <w:rsid w:val="176B31A9"/>
    <w:rsid w:val="17D416AD"/>
    <w:rsid w:val="18A1653D"/>
    <w:rsid w:val="19441DEC"/>
    <w:rsid w:val="19D84E5F"/>
    <w:rsid w:val="19ED4168"/>
    <w:rsid w:val="1A223074"/>
    <w:rsid w:val="1C1B73F4"/>
    <w:rsid w:val="1D1A55A4"/>
    <w:rsid w:val="1DEC5F72"/>
    <w:rsid w:val="1E16609C"/>
    <w:rsid w:val="211431D7"/>
    <w:rsid w:val="21472A39"/>
    <w:rsid w:val="21A25EC1"/>
    <w:rsid w:val="22230DB0"/>
    <w:rsid w:val="23203542"/>
    <w:rsid w:val="237B6C38"/>
    <w:rsid w:val="23C20066"/>
    <w:rsid w:val="243B11AA"/>
    <w:rsid w:val="263025E8"/>
    <w:rsid w:val="26F67CE9"/>
    <w:rsid w:val="29CE019B"/>
    <w:rsid w:val="2C28591A"/>
    <w:rsid w:val="2CEB3589"/>
    <w:rsid w:val="2D6509E9"/>
    <w:rsid w:val="300C37CC"/>
    <w:rsid w:val="313E7C71"/>
    <w:rsid w:val="31D8228A"/>
    <w:rsid w:val="32450566"/>
    <w:rsid w:val="32FF44D7"/>
    <w:rsid w:val="33B62FE2"/>
    <w:rsid w:val="33D41CBE"/>
    <w:rsid w:val="341D441B"/>
    <w:rsid w:val="34527E32"/>
    <w:rsid w:val="35B4432A"/>
    <w:rsid w:val="38473142"/>
    <w:rsid w:val="38EF5A38"/>
    <w:rsid w:val="396B3311"/>
    <w:rsid w:val="398B750F"/>
    <w:rsid w:val="399F5B58"/>
    <w:rsid w:val="3A775CE5"/>
    <w:rsid w:val="3AC65F2C"/>
    <w:rsid w:val="3AD273C0"/>
    <w:rsid w:val="3B693880"/>
    <w:rsid w:val="3D691F33"/>
    <w:rsid w:val="3DEE62BF"/>
    <w:rsid w:val="3E483DDF"/>
    <w:rsid w:val="3E7FA43D"/>
    <w:rsid w:val="3EA862F6"/>
    <w:rsid w:val="3F2D260D"/>
    <w:rsid w:val="3FEF409A"/>
    <w:rsid w:val="4069643F"/>
    <w:rsid w:val="406AD189"/>
    <w:rsid w:val="40F30E1A"/>
    <w:rsid w:val="41AB024C"/>
    <w:rsid w:val="41DD5FC0"/>
    <w:rsid w:val="42044FEC"/>
    <w:rsid w:val="42996CD2"/>
    <w:rsid w:val="42B56407"/>
    <w:rsid w:val="430821C5"/>
    <w:rsid w:val="432C24B3"/>
    <w:rsid w:val="45BC50DC"/>
    <w:rsid w:val="462F542D"/>
    <w:rsid w:val="4773344D"/>
    <w:rsid w:val="4802743A"/>
    <w:rsid w:val="481969BE"/>
    <w:rsid w:val="48773072"/>
    <w:rsid w:val="4B4B748E"/>
    <w:rsid w:val="4BC863A1"/>
    <w:rsid w:val="4C7B2AF3"/>
    <w:rsid w:val="4CAA0C68"/>
    <w:rsid w:val="4CBE066B"/>
    <w:rsid w:val="4CEC2563"/>
    <w:rsid w:val="4DEA6AA2"/>
    <w:rsid w:val="4ED65279"/>
    <w:rsid w:val="4EE71234"/>
    <w:rsid w:val="4F3E62E4"/>
    <w:rsid w:val="4F9A09F6"/>
    <w:rsid w:val="51036A4B"/>
    <w:rsid w:val="518B5BCC"/>
    <w:rsid w:val="52E269D7"/>
    <w:rsid w:val="53FE9306"/>
    <w:rsid w:val="540F46D9"/>
    <w:rsid w:val="55D66B9C"/>
    <w:rsid w:val="56F8459B"/>
    <w:rsid w:val="579E4352"/>
    <w:rsid w:val="58390A49"/>
    <w:rsid w:val="58560158"/>
    <w:rsid w:val="59272FB7"/>
    <w:rsid w:val="598B6C60"/>
    <w:rsid w:val="5A6ECB43"/>
    <w:rsid w:val="5B1C04B7"/>
    <w:rsid w:val="5B9D12C9"/>
    <w:rsid w:val="5BCF3A0C"/>
    <w:rsid w:val="5EDFF4A9"/>
    <w:rsid w:val="5F374BAA"/>
    <w:rsid w:val="5F9A19AB"/>
    <w:rsid w:val="60421227"/>
    <w:rsid w:val="61007F33"/>
    <w:rsid w:val="61302B4B"/>
    <w:rsid w:val="613C71BD"/>
    <w:rsid w:val="629979ED"/>
    <w:rsid w:val="62AE5E99"/>
    <w:rsid w:val="63132413"/>
    <w:rsid w:val="63465D0E"/>
    <w:rsid w:val="650B307B"/>
    <w:rsid w:val="65385EEE"/>
    <w:rsid w:val="65A90B99"/>
    <w:rsid w:val="66D9725C"/>
    <w:rsid w:val="67304293"/>
    <w:rsid w:val="67EE0AE5"/>
    <w:rsid w:val="68C1269E"/>
    <w:rsid w:val="693469CC"/>
    <w:rsid w:val="69A9F699"/>
    <w:rsid w:val="69ED65A0"/>
    <w:rsid w:val="6A2A3ACE"/>
    <w:rsid w:val="6AC47539"/>
    <w:rsid w:val="6C5E39C2"/>
    <w:rsid w:val="6C7649B9"/>
    <w:rsid w:val="6DCD73EF"/>
    <w:rsid w:val="6E367D4C"/>
    <w:rsid w:val="6FEF0325"/>
    <w:rsid w:val="71630796"/>
    <w:rsid w:val="71946A6A"/>
    <w:rsid w:val="73661E78"/>
    <w:rsid w:val="75D377D8"/>
    <w:rsid w:val="765B2711"/>
    <w:rsid w:val="76D27940"/>
    <w:rsid w:val="774C5829"/>
    <w:rsid w:val="77570975"/>
    <w:rsid w:val="77FE8FE9"/>
    <w:rsid w:val="788C2381"/>
    <w:rsid w:val="78BF7373"/>
    <w:rsid w:val="791365FE"/>
    <w:rsid w:val="793622EC"/>
    <w:rsid w:val="79B84D8C"/>
    <w:rsid w:val="7A06218B"/>
    <w:rsid w:val="7B5319A5"/>
    <w:rsid w:val="7D53C886"/>
    <w:rsid w:val="7DA5F321"/>
    <w:rsid w:val="7DBD228B"/>
    <w:rsid w:val="7E1D38E5"/>
    <w:rsid w:val="7FF77F7D"/>
    <w:rsid w:val="8FBF719C"/>
    <w:rsid w:val="CC2EAD7B"/>
    <w:rsid w:val="D9B7D956"/>
    <w:rsid w:val="DEFF75DC"/>
    <w:rsid w:val="DF2F2E33"/>
    <w:rsid w:val="E6F77205"/>
    <w:rsid w:val="EEFF5E48"/>
    <w:rsid w:val="EFBBEEAF"/>
    <w:rsid w:val="F0B77543"/>
    <w:rsid w:val="F1FE3574"/>
    <w:rsid w:val="F62FF1FC"/>
    <w:rsid w:val="FDE5B529"/>
    <w:rsid w:val="FF9705C8"/>
    <w:rsid w:val="FFD67EA7"/>
    <w:rsid w:val="FFF9C563"/>
    <w:rsid w:val="FFFFB2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FollowedHyperlink"/>
    <w:basedOn w:val="7"/>
    <w:qFormat/>
    <w:uiPriority w:val="0"/>
    <w:rPr>
      <w:color w:val="D54A4A"/>
      <w:u w:val="none"/>
    </w:rPr>
  </w:style>
  <w:style w:type="character" w:styleId="9">
    <w:name w:val="Emphasis"/>
    <w:basedOn w:val="7"/>
    <w:qFormat/>
    <w:uiPriority w:val="0"/>
    <w:rPr>
      <w:i/>
    </w:rPr>
  </w:style>
  <w:style w:type="character" w:styleId="10">
    <w:name w:val="Hyperlink"/>
    <w:basedOn w:val="7"/>
    <w:qFormat/>
    <w:uiPriority w:val="0"/>
    <w:rPr>
      <w:color w:val="D54A4A"/>
      <w:u w:val="none"/>
    </w:rPr>
  </w:style>
  <w:style w:type="paragraph" w:customStyle="1" w:styleId="11">
    <w:name w:val="Body Text First Indent 21"/>
    <w:basedOn w:val="12"/>
    <w:qFormat/>
    <w:uiPriority w:val="0"/>
    <w:pPr>
      <w:ind w:firstLine="420"/>
    </w:pPr>
  </w:style>
  <w:style w:type="paragraph" w:customStyle="1" w:styleId="12">
    <w:name w:val="Body Text Indent1"/>
    <w:basedOn w:val="1"/>
    <w:qFormat/>
    <w:uiPriority w:val="0"/>
    <w:pPr>
      <w:ind w:left="420" w:leftChars="200"/>
    </w:pPr>
    <w:rPr>
      <w:rFonts w:ascii="Times New Roman" w:hAnsi="Times New Roman"/>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user_offline"/>
    <w:basedOn w:val="7"/>
    <w:qFormat/>
    <w:uiPriority w:val="0"/>
    <w:rPr>
      <w:color w:val="999999"/>
    </w:rPr>
  </w:style>
  <w:style w:type="character" w:customStyle="1" w:styleId="15">
    <w:name w:val="diy_check"/>
    <w:basedOn w:val="7"/>
    <w:qFormat/>
    <w:uiPriority w:val="0"/>
  </w:style>
  <w:style w:type="character" w:customStyle="1" w:styleId="16">
    <w:name w:val="diy_checked"/>
    <w:basedOn w:val="7"/>
    <w:qFormat/>
    <w:uiPriority w:val="0"/>
  </w:style>
  <w:style w:type="character" w:customStyle="1" w:styleId="17">
    <w:name w:val="diy_checked1"/>
    <w:basedOn w:val="7"/>
    <w:qFormat/>
    <w:uiPriority w:val="0"/>
  </w:style>
  <w:style w:type="character" w:customStyle="1" w:styleId="18">
    <w:name w:val="suc"/>
    <w:basedOn w:val="7"/>
    <w:qFormat/>
    <w:uiPriority w:val="0"/>
    <w:rPr>
      <w:color w:val="000000"/>
    </w:rPr>
  </w:style>
  <w:style w:type="character" w:customStyle="1" w:styleId="19">
    <w:name w:val="error"/>
    <w:basedOn w:val="7"/>
    <w:qFormat/>
    <w:uiPriority w:val="0"/>
    <w:rPr>
      <w:color w:val="000000"/>
    </w:rPr>
  </w:style>
  <w:style w:type="character" w:customStyle="1" w:styleId="20">
    <w:name w:val="chat_user"/>
    <w:basedOn w:val="7"/>
    <w:qFormat/>
    <w:uiPriority w:val="0"/>
  </w:style>
  <w:style w:type="character" w:customStyle="1" w:styleId="21">
    <w:name w:val="user_online"/>
    <w:basedOn w:val="7"/>
    <w:qFormat/>
    <w:uiPriority w:val="0"/>
    <w:rPr>
      <w:color w:val="1797DC"/>
    </w:rPr>
  </w:style>
  <w:style w:type="character" w:customStyle="1" w:styleId="22">
    <w:name w:val="user_online1"/>
    <w:basedOn w:val="7"/>
    <w:qFormat/>
    <w:uiPriority w:val="0"/>
    <w:rPr>
      <w:color w:val="1797DC"/>
    </w:rPr>
  </w:style>
  <w:style w:type="character" w:customStyle="1" w:styleId="23">
    <w:name w:val="mcms"/>
    <w:basedOn w:val="7"/>
    <w:qFormat/>
    <w:uiPriority w:val="0"/>
  </w:style>
  <w:style w:type="character" w:customStyle="1" w:styleId="24">
    <w:name w:val="hover52"/>
    <w:basedOn w:val="7"/>
    <w:qFormat/>
    <w:uiPriority w:val="0"/>
    <w:rPr>
      <w:shd w:val="clear" w:fill="EEEEEE"/>
    </w:rPr>
  </w:style>
  <w:style w:type="character" w:customStyle="1" w:styleId="25">
    <w:name w:val="hover53"/>
    <w:basedOn w:val="7"/>
    <w:qFormat/>
    <w:uiPriority w:val="0"/>
    <w:rPr>
      <w:shd w:val="clear" w:fill="FBF4E4"/>
    </w:rPr>
  </w:style>
  <w:style w:type="character" w:customStyle="1" w:styleId="26">
    <w:name w:val="unread"/>
    <w:basedOn w:val="7"/>
    <w:qFormat/>
    <w:uiPriority w:val="0"/>
    <w:rPr>
      <w:b/>
      <w:bCs/>
      <w:color w:val="000000"/>
    </w:rPr>
  </w:style>
  <w:style w:type="character" w:customStyle="1" w:styleId="27">
    <w:name w:val="maxwidth"/>
    <w:basedOn w:val="7"/>
    <w:qFormat/>
    <w:uiPriority w:val="0"/>
  </w:style>
  <w:style w:type="character" w:customStyle="1" w:styleId="28">
    <w:name w:val="foldecurrent"/>
    <w:basedOn w:val="7"/>
    <w:qFormat/>
    <w:uiPriority w:val="0"/>
    <w:rPr>
      <w:color w:val="FFFFFF"/>
      <w:shd w:val="clear" w:fill="BD4D38"/>
    </w:rPr>
  </w:style>
  <w:style w:type="character" w:customStyle="1" w:styleId="29">
    <w:name w:val="addr_sj"/>
    <w:basedOn w:val="7"/>
    <w:qFormat/>
    <w:uiPriority w:val="0"/>
    <w:rPr>
      <w:color w:val="AAAAAA"/>
      <w:sz w:val="15"/>
      <w:szCs w:val="15"/>
    </w:rPr>
  </w:style>
  <w:style w:type="character" w:customStyle="1" w:styleId="30">
    <w:name w:val="pushphoneico"/>
    <w:basedOn w:val="7"/>
    <w:qFormat/>
    <w:uiPriority w:val="0"/>
  </w:style>
  <w:style w:type="character" w:customStyle="1" w:styleId="31">
    <w:name w:val="pushphone"/>
    <w:basedOn w:val="7"/>
    <w:qFormat/>
    <w:uiPriority w:val="0"/>
    <w:rPr>
      <w:b/>
      <w:bCs/>
    </w:rPr>
  </w:style>
  <w:style w:type="character" w:customStyle="1" w:styleId="32">
    <w:name w:val="pushnum"/>
    <w:basedOn w:val="7"/>
    <w:qFormat/>
    <w:uiPriority w:val="0"/>
  </w:style>
  <w:style w:type="character" w:customStyle="1" w:styleId="33">
    <w:name w:val="pushsys"/>
    <w:basedOn w:val="7"/>
    <w:qFormat/>
    <w:uiPriority w:val="0"/>
  </w:style>
  <w:style w:type="character" w:customStyle="1" w:styleId="34">
    <w:name w:val="pushopa"/>
    <w:basedOn w:val="7"/>
    <w:qFormat/>
    <w:uiPriority w:val="0"/>
  </w:style>
  <w:style w:type="character" w:customStyle="1" w:styleId="35">
    <w:name w:val="address_dialog_checked"/>
    <w:basedOn w:val="7"/>
    <w:qFormat/>
    <w:uiPriority w:val="0"/>
    <w:rPr>
      <w:shd w:val="clear" w:fill="EEEEE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8144</Words>
  <Characters>8272</Characters>
  <TotalTime>0</TotalTime>
  <ScaleCrop>false</ScaleCrop>
  <LinksUpToDate>false</LinksUpToDate>
  <CharactersWithSpaces>8412</CharactersWithSpaces>
  <Application>WPS Office_11.8.2.10337_F1E327BC-269C-435d-A152-05C5408002CA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2023-02-26T10:29:00Z</dcterms:created>
  <dc:creator>Administrator</dc:creator>
  <cp:lastModifiedBy>user</cp:lastModifiedBy>
  <cp:lastPrinted>2023-11-24T11:10:00Z</cp:lastPrinted>
  <dcterms:modified xsi:type="dcterms:W3CDTF">2025-03-06T10:42:05Z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2023-02-24T14:55:02Z</vt:filetime>
  </property>
  <property fmtid="{D5CDD505-2E9C-101B-9397-08002B2CF9AE}" pid="4" name="KSOProductBuildVer">
    <vt:lpwstr>2052-11.8.2.10337</vt:lpwstr>
  </property>
  <property fmtid="{D5CDD505-2E9C-101B-9397-08002B2CF9AE}" pid="5" name="ICV">
    <vt:lpwstr>F5E826B69E064B90A8EFF03A35ACCD3E_13</vt:lpwstr>
  </property>
</Properties>
</file>